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3F0" w:rsidRDefault="007E0EB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транспорта и дорожного строительства Камчатского края</w:t>
      </w: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DB53F0">
      <w:pPr>
        <w:jc w:val="center"/>
        <w:rPr>
          <w:rFonts w:ascii="Times New Roman" w:hAnsi="Times New Roman"/>
        </w:rPr>
      </w:pPr>
    </w:p>
    <w:p w:rsidR="00DB53F0" w:rsidRDefault="007E0E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Годовой отчет </w:t>
      </w:r>
    </w:p>
    <w:p w:rsidR="00DB53F0" w:rsidRDefault="007E0E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ходе реализации и оценке эффективности </w:t>
      </w:r>
      <w:r>
        <w:rPr>
          <w:rFonts w:ascii="Times New Roman" w:hAnsi="Times New Roman"/>
          <w:sz w:val="28"/>
          <w:szCs w:val="28"/>
        </w:rPr>
        <w:br/>
        <w:t xml:space="preserve">государственной программы Камчатского края </w:t>
      </w:r>
    </w:p>
    <w:p w:rsidR="00DB53F0" w:rsidRDefault="007E0E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«Развитие транспортной системы в Камчатском крае» </w:t>
      </w:r>
    </w:p>
    <w:p w:rsidR="00DB53F0" w:rsidRDefault="007E0E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670" w:type="dxa"/>
        <w:tblInd w:w="3686" w:type="dxa"/>
        <w:tblLayout w:type="fixed"/>
        <w:tblLook w:val="04A0" w:firstRow="1" w:lastRow="0" w:firstColumn="1" w:lastColumn="0" w:noHBand="0" w:noVBand="1"/>
      </w:tblPr>
      <w:tblGrid>
        <w:gridCol w:w="5670"/>
      </w:tblGrid>
      <w:tr w:rsidR="00DB53F0" w:rsidTr="003D6D19">
        <w:trPr>
          <w:trHeight w:val="1503"/>
        </w:trPr>
        <w:tc>
          <w:tcPr>
            <w:tcW w:w="5670" w:type="dxa"/>
            <w:shd w:val="clear" w:color="auto" w:fill="auto"/>
          </w:tcPr>
          <w:p w:rsidR="00DB53F0" w:rsidRDefault="007E0EB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Исп. Алексей Юрьевич Гемаксон</w:t>
            </w:r>
          </w:p>
          <w:p w:rsidR="00DB53F0" w:rsidRDefault="007E0EB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Референт финансово-аналитического отдела Министерства транспорта и дорожного строительства</w:t>
            </w:r>
          </w:p>
          <w:p w:rsidR="00DB53F0" w:rsidRDefault="007E0EB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Камчатского края</w:t>
            </w:r>
          </w:p>
          <w:p w:rsidR="00DB53F0" w:rsidRDefault="007E0EB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(415 2) 42-73-63</w:t>
            </w:r>
          </w:p>
          <w:p w:rsidR="00DB53F0" w:rsidRDefault="009F57E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hyperlink r:id="rId8"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transport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_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agency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@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mail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.</w:t>
              </w:r>
              <w:r w:rsidR="007E0EB0">
                <w:rPr>
                  <w:rStyle w:val="a9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ru</w:t>
              </w:r>
            </w:hyperlink>
          </w:p>
        </w:tc>
      </w:tr>
    </w:tbl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4962"/>
        <w:jc w:val="both"/>
        <w:rPr>
          <w:rFonts w:ascii="Times New Roman" w:eastAsia="Times New Roman" w:hAnsi="Times New Roman"/>
          <w:lang w:eastAsia="ru-RU"/>
        </w:rPr>
      </w:pPr>
    </w:p>
    <w:p w:rsidR="00DB53F0" w:rsidRDefault="00DB53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3F0" w:rsidRDefault="007E0E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___________ А.С. Сафонов</w:t>
      </w:r>
    </w:p>
    <w:p w:rsidR="00DB53F0" w:rsidRDefault="007E0EB0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28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2023 года</w:t>
      </w:r>
    </w:p>
    <w:p w:rsidR="00DB53F0" w:rsidRDefault="00DB53F0">
      <w:pPr>
        <w:pStyle w:val="22"/>
        <w:spacing w:after="240"/>
        <w:ind w:firstLine="0"/>
        <w:contextualSpacing/>
        <w:jc w:val="center"/>
      </w:pPr>
    </w:p>
    <w:p w:rsidR="00DB53F0" w:rsidRDefault="00DB53F0">
      <w:pPr>
        <w:pStyle w:val="22"/>
        <w:spacing w:after="240"/>
        <w:ind w:firstLine="0"/>
        <w:contextualSpacing/>
        <w:jc w:val="center"/>
      </w:pPr>
    </w:p>
    <w:p w:rsidR="00DB53F0" w:rsidRDefault="007E0EB0">
      <w:pPr>
        <w:pStyle w:val="22"/>
        <w:spacing w:after="240"/>
        <w:ind w:firstLine="0"/>
        <w:contextualSpacing/>
        <w:jc w:val="center"/>
      </w:pPr>
      <w:r>
        <w:lastRenderedPageBreak/>
        <w:t>СОДЕРЖАНИЕ</w:t>
      </w:r>
    </w:p>
    <w:p w:rsidR="00DB53F0" w:rsidRDefault="00DB53F0">
      <w:pPr>
        <w:pStyle w:val="22"/>
        <w:spacing w:after="240"/>
        <w:ind w:firstLine="0"/>
        <w:contextualSpacing/>
        <w:jc w:val="center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755"/>
        <w:gridCol w:w="992"/>
      </w:tblGrid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pStyle w:val="22"/>
              <w:widowControl w:val="0"/>
              <w:ind w:firstLine="426"/>
              <w:contextualSpacing/>
              <w:rPr>
                <w:szCs w:val="28"/>
              </w:rPr>
            </w:pPr>
            <w:r>
              <w:rPr>
                <w:szCs w:val="28"/>
              </w:rPr>
              <w:t>1. Конкретные результаты, достигнутые в отчетном году, в разрезе основных мероприятий 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3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pStyle w:val="22"/>
              <w:widowControl w:val="0"/>
              <w:ind w:firstLine="426"/>
              <w:contextualSpacing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pStyle w:val="1"/>
              <w:widowControl w:val="0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 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12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pStyle w:val="1"/>
              <w:widowControl w:val="0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pStyle w:val="1"/>
              <w:widowControl w:val="0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программ (в том числе, контрольных событий)……………………………………………..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14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pStyle w:val="1"/>
              <w:widowControl w:val="0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pStyle w:val="1"/>
              <w:widowControl w:val="0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 Анализ факторов, повлиявших на ход реализации государственной программы……………………………………………….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16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pStyle w:val="1"/>
              <w:widowControl w:val="0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Анализ фактических и вероятных последствий влияния указанных факторов на основные параметры государственной программы…………………………………………………………………...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17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pStyle w:val="af4"/>
              <w:widowControl w:val="0"/>
              <w:spacing w:after="200"/>
              <w:ind w:firstLine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Результаты оценки эффективности реализации государственной программы в отчетном году……………………………………………......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18 ст.</w:t>
            </w: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DB53F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DB53F0">
            <w:pPr>
              <w:pStyle w:val="22"/>
              <w:widowControl w:val="0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DB53F0">
        <w:tc>
          <w:tcPr>
            <w:tcW w:w="8754" w:type="dxa"/>
            <w:shd w:val="clear" w:color="auto" w:fill="auto"/>
          </w:tcPr>
          <w:p w:rsidR="00DB53F0" w:rsidRDefault="007E0EB0">
            <w:pPr>
              <w:widowControl w:val="0"/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/>
                <w:sz w:val="28"/>
                <w:szCs w:val="28"/>
              </w:rPr>
              <w:t>Информация о внесенных изменениях в Государственную программу…………………………………………………………………...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53F0" w:rsidRDefault="007E0EB0">
            <w:pPr>
              <w:pStyle w:val="22"/>
              <w:widowControl w:val="0"/>
              <w:ind w:firstLine="0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>20 ст.</w:t>
            </w:r>
          </w:p>
        </w:tc>
      </w:tr>
    </w:tbl>
    <w:p w:rsidR="00DB53F0" w:rsidRDefault="007E0EB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DB53F0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B53F0" w:rsidRDefault="007E0EB0">
      <w:pPr>
        <w:pStyle w:val="ad"/>
        <w:spacing w:after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Аналитическая справка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о ходе реализации и оценке эффективности </w:t>
      </w:r>
      <w:r>
        <w:rPr>
          <w:rFonts w:ascii="Times New Roman" w:hAnsi="Times New Roman"/>
          <w:b/>
          <w:caps/>
          <w:sz w:val="28"/>
          <w:szCs w:val="28"/>
        </w:rPr>
        <w:br/>
        <w:t xml:space="preserve">государственной программы Камчатского края </w:t>
      </w:r>
      <w:r>
        <w:rPr>
          <w:rFonts w:ascii="Times New Roman" w:hAnsi="Times New Roman"/>
          <w:b/>
          <w:caps/>
          <w:sz w:val="28"/>
          <w:szCs w:val="28"/>
        </w:rPr>
        <w:br/>
        <w:t xml:space="preserve">«Развитие транспортной системы в Камчатском крае» </w:t>
      </w:r>
      <w:r>
        <w:rPr>
          <w:rFonts w:ascii="Times New Roman" w:hAnsi="Times New Roman"/>
          <w:b/>
          <w:caps/>
          <w:sz w:val="28"/>
          <w:szCs w:val="28"/>
        </w:rPr>
        <w:br/>
        <w:t>за 2022 год</w:t>
      </w:r>
    </w:p>
    <w:p w:rsidR="00DB53F0" w:rsidRDefault="007E0EB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Основные результаты, достигнутые в отчетном году, в разрезе основных мероприятий.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закончена реконструкция автомобильной дороги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совхоз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колхоз им. Октябрьской революции на участке км 0 - </w:t>
      </w:r>
      <w:r>
        <w:rPr>
          <w:rFonts w:ascii="Times New Roman" w:hAnsi="Times New Roman"/>
          <w:sz w:val="28"/>
          <w:szCs w:val="28"/>
        </w:rPr>
        <w:br/>
        <w:t xml:space="preserve">км 5, Протяженность участка – 4,921 км.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Продолжается строительство подъезда к проектируемому аэровокзалу в г. Елизово от автомобильной дороги А-401 «Подъездная дорога от морского порта Петропавловск-Камчатский к аэропорту Петропавловск-Камчатский (Елизово) на участке 34», завершение работ планируется в ноябре 2023 года.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году заключены контракты с подрядными организациями на строительство / реконструкцию следующих объектов: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16,4. 1 этап (участок ПК28+00 - ПК80+00), завершение работ по реконструкции октябрь 2023 года;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16,4. 2 этап (участок ПК00+00 - ПК28+00), завершение работ по реконструкции октябрь 2023 года;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автомобильной дороги общего пользования регионального значения Камчатского края «п. Термальный - туристский кластер «Три вулкана». Протяженностью 32 км (этапы 1-3)», завершение работ октябрь 2025 года;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автомобильной дороги для резидента ООО «Соколиный центр «Камчатка», завершение работ по контракту апрель 2024 года.</w:t>
      </w:r>
    </w:p>
    <w:p w:rsidR="00DB53F0" w:rsidRDefault="007E0EB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DB53F0" w:rsidRDefault="007E0EB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DB53F0" w:rsidRDefault="007E0EB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целях реализации мероприятий данной Подпрограммы Министерством в 2022 году продолжается выполнение работ по </w:t>
      </w:r>
      <w:r>
        <w:rPr>
          <w:rFonts w:ascii="Times New Roman" w:hAnsi="Times New Roman"/>
          <w:b/>
          <w:sz w:val="28"/>
          <w:szCs w:val="28"/>
        </w:rPr>
        <w:t>капитальному ремонту, ремонту, содержанию автомобильных дорог общего пользования регионального и межмуниципального значения в Камчатском крае</w:t>
      </w:r>
      <w:r>
        <w:rPr>
          <w:rFonts w:ascii="Times New Roman" w:hAnsi="Times New Roman"/>
          <w:sz w:val="28"/>
          <w:szCs w:val="28"/>
        </w:rPr>
        <w:t>.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Сеть автомобильных дорог общего пользования регионального и межмуниципального значения Камчатского края при проведении работ по содержанию составляет 1 810,840 км, из них 1 383,098 км автодорог постоянного типа и 427,742 км регулярных обслуживаемых автозимников, из дорог постоянного типа с усовершенствованным покрытием – 461,933 км, с </w:t>
      </w:r>
      <w:r>
        <w:rPr>
          <w:rFonts w:ascii="Times New Roman" w:hAnsi="Times New Roman"/>
          <w:sz w:val="28"/>
          <w:szCs w:val="28"/>
        </w:rPr>
        <w:lastRenderedPageBreak/>
        <w:t xml:space="preserve">переходным покрытием из щебеночно-гравийных смесей – 910,180 км, грунтовых – 10,985 км. 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в рамках мероприятия «</w:t>
      </w:r>
      <w:r>
        <w:rPr>
          <w:rFonts w:ascii="Times New Roman" w:hAnsi="Times New Roman"/>
          <w:b/>
          <w:sz w:val="28"/>
          <w:szCs w:val="28"/>
        </w:rPr>
        <w:t>Капитальный ремонт, ремонт, содержанию автомобильных дорог общего пользования регионального и межмуниципального значения в Камчатском крае»</w:t>
      </w:r>
      <w:r>
        <w:rPr>
          <w:rFonts w:ascii="Times New Roman" w:hAnsi="Times New Roman"/>
          <w:sz w:val="28"/>
          <w:szCs w:val="28"/>
        </w:rPr>
        <w:t xml:space="preserve"> было освоено 2 480,731 млн рублей краевого бюджета (или 98,4% от предусмотренных ассигнований) и 1 187,535 млн руб. федерального бюджета (100% от предусмотренных ассигнований). 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проекта «Безопасные и качественные автомобильные дороги» (далее БКАД) из федерального бюджета выделено и освоено 135,549 млн рублей. Данные средства были направлены на Ремонт автомобильной дороги с переходным типом покрытия «Мильково - Ключи - Усть-Камчатск» на участке км 187 - км 197 и Ремонт автомобильной дороги с переходным типом покрытия Мильково - Ключи - Усть-Камчатск на участке км 105 - км 117.</w:t>
      </w:r>
    </w:p>
    <w:p w:rsidR="00DB53F0" w:rsidRDefault="007E0E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был проведен капитальный ремонт автомобильной дороги Елизово - Паратунка.  Обустройство недостающим электроосвещением. II этап (пешеходные переходы км 10+237; 10+625; 15+857; 22+327; 22+415; 27+201;27+580; 28+180), протяженность участка 2,88 км. </w:t>
      </w:r>
    </w:p>
    <w:p w:rsidR="00DB53F0" w:rsidRDefault="007E0E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Начат капитальный ремонт автомобильной дороги Петропавловск-Камчатский - Мильково, 49 км - с. Коряки.  Обустройство недостающим электроосвещением на участке км 0 +000 - км 1+500 (от места примыкания дороги 0 км + 0 метров до 1 км +500 метров, в сторону п. Коряки ул. Шоссейная)», протяженность участка 1,553 км. Срок окончания работ запланирован на ноябрь 2023 года. </w:t>
      </w:r>
    </w:p>
    <w:p w:rsidR="00DB53F0" w:rsidRDefault="007E0E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текущем году начат капитальный ремонт мостового перехода через р. Быстрая на автомобильной дороге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 км 79+805. Мощность объекта – 226,490 </w:t>
      </w:r>
      <w:proofErr w:type="spellStart"/>
      <w:r>
        <w:rPr>
          <w:rFonts w:ascii="Times New Roman" w:hAnsi="Times New Roman"/>
          <w:sz w:val="28"/>
          <w:szCs w:val="28"/>
        </w:rPr>
        <w:t>пог.м</w:t>
      </w:r>
      <w:proofErr w:type="spellEnd"/>
      <w:r>
        <w:rPr>
          <w:rFonts w:ascii="Times New Roman" w:hAnsi="Times New Roman"/>
          <w:sz w:val="28"/>
          <w:szCs w:val="28"/>
        </w:rPr>
        <w:t>., срок окончания работ октябрь 2024 год.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2022 году было отремонтировано 58,5 км 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автомобильных дорог переходного типа регионального значения </w:t>
      </w:r>
      <w:r>
        <w:rPr>
          <w:rFonts w:ascii="Times New Roman" w:hAnsi="Times New Roman"/>
          <w:sz w:val="28"/>
          <w:szCs w:val="28"/>
        </w:rPr>
        <w:t>(в том числе по проекту БКАД):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Ремонт автомобильной дороги с переходным типом покрытия «Мильково - Ключи - Усть-Камчатск» на участке км 187 - км 197, протяжённостью 11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автомобильной дороги с переходным типом покрытия Мильково – Ключи - Усть-Камчатск на участке км 105 - км 117, протяженностью 12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и содержание на принципах контракта жизненного цикла автомобильной дороги  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 на участке км 64 - км 75 (ремонт), протяженность 11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и содержание на принципах контракта жизненного цикла автомобильной дороги  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</w:t>
      </w:r>
      <w:r>
        <w:rPr>
          <w:rFonts w:ascii="Times New Roman" w:hAnsi="Times New Roman"/>
          <w:sz w:val="28"/>
          <w:szCs w:val="28"/>
        </w:rPr>
        <w:lastRenderedPageBreak/>
        <w:t xml:space="preserve">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 на участке км 85 - км 99 (ремонт), протяженность 14 км;</w:t>
      </w:r>
    </w:p>
    <w:p w:rsidR="00DB53F0" w:rsidRDefault="007E0EB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автомобильной дороги с переходным типом покрытия Крапивная - Эссо на участке км 39- км 49, протяженностью 10,5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Начат ремонт автомобильной дороги с переходным типом покрытия Мильково - Ключи - Усть-Камчатск на участке км 277 - км 287 км с планируемым вводом в 2023 году.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отчетном году было отремонтировано 15,197 км </w:t>
      </w:r>
      <w:r>
        <w:rPr>
          <w:rFonts w:ascii="Times New Roman" w:hAnsi="Times New Roman"/>
          <w:i/>
          <w:sz w:val="28"/>
          <w:szCs w:val="28"/>
          <w:u w:val="single"/>
        </w:rPr>
        <w:t>автомобильных дорог с асфальтобетонным покрытием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автомобильной дороги Садовое кольцо на участке км 26+800 - км 28+760 (1,96 км);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автомобильной дороги Петропавловск-Камчатский - Мильково на участке км 11 - км 24 (13,237 км).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выполнен ремонт моста и </w:t>
      </w:r>
      <w:proofErr w:type="spellStart"/>
      <w:r>
        <w:rPr>
          <w:rFonts w:ascii="Times New Roman" w:hAnsi="Times New Roman"/>
          <w:sz w:val="28"/>
          <w:szCs w:val="28"/>
        </w:rPr>
        <w:t>подмостовых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сооружений через р. Плотникова на автомобильной дороге Подъезд к санаторию </w:t>
      </w:r>
      <w:proofErr w:type="spellStart"/>
      <w:r>
        <w:rPr>
          <w:rFonts w:ascii="Times New Roman" w:hAnsi="Times New Roman"/>
          <w:sz w:val="28"/>
          <w:szCs w:val="28"/>
        </w:rPr>
        <w:t>Начики</w:t>
      </w:r>
      <w:proofErr w:type="spellEnd"/>
      <w:r>
        <w:rPr>
          <w:rFonts w:ascii="Times New Roman" w:hAnsi="Times New Roman"/>
          <w:sz w:val="28"/>
          <w:szCs w:val="28"/>
        </w:rPr>
        <w:t xml:space="preserve"> (мощность объекта 59,23 </w:t>
      </w:r>
      <w:proofErr w:type="spellStart"/>
      <w:r>
        <w:rPr>
          <w:rFonts w:ascii="Times New Roman" w:hAnsi="Times New Roman"/>
          <w:sz w:val="28"/>
          <w:szCs w:val="28"/>
        </w:rPr>
        <w:t>пог.м</w:t>
      </w:r>
      <w:proofErr w:type="spellEnd"/>
      <w:r>
        <w:rPr>
          <w:rFonts w:ascii="Times New Roman" w:hAnsi="Times New Roman"/>
          <w:sz w:val="28"/>
          <w:szCs w:val="28"/>
        </w:rPr>
        <w:t xml:space="preserve">.) и начат ремонт мостового перехода через р. </w:t>
      </w:r>
      <w:proofErr w:type="spellStart"/>
      <w:r>
        <w:rPr>
          <w:rFonts w:ascii="Times New Roman" w:hAnsi="Times New Roman"/>
          <w:sz w:val="28"/>
          <w:szCs w:val="28"/>
        </w:rPr>
        <w:t>Удова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км 8 автомобильной дороги Соболево – Устьевое (мощность объекта 95,35 </w:t>
      </w:r>
      <w:proofErr w:type="spellStart"/>
      <w:r>
        <w:rPr>
          <w:rFonts w:ascii="Times New Roman" w:hAnsi="Times New Roman"/>
          <w:sz w:val="28"/>
          <w:szCs w:val="28"/>
        </w:rPr>
        <w:t>пог.м</w:t>
      </w:r>
      <w:proofErr w:type="spellEnd"/>
      <w:r>
        <w:rPr>
          <w:rFonts w:ascii="Times New Roman" w:hAnsi="Times New Roman"/>
          <w:sz w:val="28"/>
          <w:szCs w:val="28"/>
        </w:rPr>
        <w:t>., срок сдачи объекта – октябрь 2023 года.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Протяженность линий искусственного освещения </w:t>
      </w:r>
      <w:proofErr w:type="gramStart"/>
      <w:r>
        <w:rPr>
          <w:rFonts w:ascii="Times New Roman" w:hAnsi="Times New Roman"/>
          <w:sz w:val="28"/>
          <w:szCs w:val="28"/>
        </w:rPr>
        <w:t>автомобильных дорог</w:t>
      </w:r>
      <w:proofErr w:type="gramEnd"/>
      <w:r>
        <w:rPr>
          <w:rFonts w:ascii="Times New Roman" w:hAnsi="Times New Roman"/>
          <w:sz w:val="28"/>
          <w:szCs w:val="28"/>
        </w:rPr>
        <w:t xml:space="preserve"> введенных в эксплуатацию после ремонта и капитального ремонта составила 288 </w:t>
      </w:r>
      <w:proofErr w:type="spellStart"/>
      <w:r>
        <w:rPr>
          <w:rFonts w:ascii="Times New Roman" w:hAnsi="Times New Roman"/>
          <w:sz w:val="28"/>
          <w:szCs w:val="28"/>
        </w:rPr>
        <w:t>п.м</w:t>
      </w:r>
      <w:proofErr w:type="spellEnd"/>
      <w:r>
        <w:rPr>
          <w:rFonts w:ascii="Times New Roman" w:hAnsi="Times New Roman"/>
          <w:sz w:val="28"/>
          <w:szCs w:val="28"/>
        </w:rPr>
        <w:t xml:space="preserve">. В текущем году были отремонтированы 5 водопропускных трубы (117,83 </w:t>
      </w:r>
      <w:proofErr w:type="spellStart"/>
      <w:r>
        <w:rPr>
          <w:rFonts w:ascii="Times New Roman" w:hAnsi="Times New Roman"/>
          <w:sz w:val="28"/>
          <w:szCs w:val="28"/>
        </w:rPr>
        <w:t>п.м</w:t>
      </w:r>
      <w:proofErr w:type="spellEnd"/>
      <w:r>
        <w:rPr>
          <w:rFonts w:ascii="Times New Roman" w:hAnsi="Times New Roman"/>
          <w:sz w:val="28"/>
          <w:szCs w:val="28"/>
        </w:rPr>
        <w:t xml:space="preserve">.). 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Заключены государственные контракты на разработку проектной документации на капитальный ремонт автомобильных дорог, обустройство недостающим электроосвещением, на выполнение кадастровых работ по формированию и постановке на государственный кадастровый учет земельных участков для размещения автомобильной дороги общего пользования регионального или межмуниципального значения, разработка проектов освоения лесов на лесной участок, представленный в постоянное (бессрочное) пользование для строительства, реконструкции, эксплуатации линейных объектов.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в рамках </w:t>
      </w:r>
      <w:r>
        <w:rPr>
          <w:rFonts w:ascii="Times New Roman" w:hAnsi="Times New Roman"/>
          <w:sz w:val="28"/>
          <w:szCs w:val="28"/>
        </w:rPr>
        <w:tab/>
        <w:t xml:space="preserve">основного мероприятия «Строительство и реконструкция автомобильных дорог регионального и межмуниципального значения, предусматривающие софинансирование из федерального бюджета» за счет бюджетных ассигнований, доведенных бюджету Камчатского края из федерального бюджета в виде бюджетного кредита на финансовое обеспечение реализации инфраструктурных проектов в период с 2022 по 2023 годы, выполняются работы по реконструкции двух участков автомобильной дороги общего пользования регионального значения «Петропавловск-Камчатский - Мильково 40 км - Пиначево с подъездом к п. Раздольный и к базе с/х Заречный» и одного участка на строительство автомобильной дороги для резидента ООО «Соколиный центр «Камчатка». Заключено три государственных контракта на выполнение подрядных работ по реконструкции и строительству со сроком завершения 30.11.2023 года. </w:t>
      </w:r>
      <w:r>
        <w:rPr>
          <w:rFonts w:ascii="Times New Roman" w:hAnsi="Times New Roman"/>
          <w:sz w:val="28"/>
          <w:szCs w:val="28"/>
        </w:rPr>
        <w:lastRenderedPageBreak/>
        <w:t>Данные контракты являются контрактами жизненного цикла, предусматривающие последующее содержание участков автомобильной дороги в период с 2023 по 2029 года. Общая стоимость подрядных работ составляет 908,7 млн рублей, в том числе: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2022 году – 330,0 млн рублей (ИБК – 330,0 млн рублей);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2023 году – 608,7 млн рублей (ИБК – 579,1 млн рублей).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Министерством в 2022 году в рамках мероприятия </w:t>
      </w:r>
      <w:r>
        <w:rPr>
          <w:rFonts w:ascii="Times New Roman" w:hAnsi="Times New Roman"/>
          <w:b/>
          <w:sz w:val="28"/>
          <w:szCs w:val="28"/>
        </w:rPr>
        <w:t>Проектирование, строительство и реконструкция автомобильных дорог регионального и межмуниципального значения</w:t>
      </w:r>
      <w:r>
        <w:rPr>
          <w:rFonts w:ascii="Times New Roman" w:hAnsi="Times New Roman"/>
          <w:sz w:val="28"/>
          <w:szCs w:val="28"/>
        </w:rPr>
        <w:t xml:space="preserve"> за счет краевого бюджета велась реконструкция автомобильной дороги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совхоз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- колхоз им. Октябрьской революции на участке км 0 - км 5. В 2022 году объект введен в эксплуатацию (разрешение на ввод объекта в эксплуатацию от 26.10.2022 </w:t>
      </w:r>
      <w:r>
        <w:rPr>
          <w:rFonts w:ascii="Times New Roman" w:hAnsi="Times New Roman"/>
          <w:sz w:val="28"/>
          <w:szCs w:val="28"/>
        </w:rPr>
        <w:br/>
        <w:t>№ 41-05-1-2022).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проводились проектно-изыскательские работы на следующих объектах: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автомобильной дороги Петропавловск-Камчатский - Мильково на участке км 12 - км 17 с подъездом к федеральной дороге» 2 этап -  разработка корректировки проектной документации;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мостового перехода через р. Железная-1 на 9 км автомобильной дороги «Садовое кольцо» в Елизовском районе Камчатского края;</w:t>
      </w:r>
    </w:p>
    <w:p w:rsidR="00DB53F0" w:rsidRDefault="007E0EB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мостового перехода через р. Железная-2 на 12 км автомобильной дороги «Садовое кольцо» в Елизовском районе Камчатского края;</w:t>
      </w:r>
    </w:p>
    <w:p w:rsidR="00DB53F0" w:rsidRDefault="007E0EB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</w:t>
      </w:r>
      <w:proofErr w:type="spellStart"/>
      <w:r>
        <w:rPr>
          <w:rFonts w:ascii="Times New Roman" w:hAnsi="Times New Roman"/>
          <w:sz w:val="28"/>
          <w:szCs w:val="28"/>
        </w:rPr>
        <w:t>Амшарик</w:t>
      </w:r>
      <w:proofErr w:type="spellEnd"/>
      <w:r>
        <w:rPr>
          <w:rFonts w:ascii="Times New Roman" w:hAnsi="Times New Roman"/>
          <w:sz w:val="28"/>
          <w:szCs w:val="28"/>
        </w:rPr>
        <w:t xml:space="preserve"> на км 3+865 автомобильной дороги Мильково – </w:t>
      </w:r>
      <w:proofErr w:type="spellStart"/>
      <w:r>
        <w:rPr>
          <w:rFonts w:ascii="Times New Roman" w:hAnsi="Times New Roman"/>
          <w:sz w:val="28"/>
          <w:szCs w:val="28"/>
        </w:rPr>
        <w:t>Кирганик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B53F0" w:rsidRDefault="007E0EB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мостового перехода через 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. Хуторской на км 1+698 автомобильной дороги Елизово - Паратунка, 4 км - п. Садовый - Учебный центр;</w:t>
      </w:r>
    </w:p>
    <w:p w:rsidR="00DB53F0" w:rsidRDefault="007E0EB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</w:t>
      </w:r>
      <w:proofErr w:type="spellStart"/>
      <w:r>
        <w:rPr>
          <w:rFonts w:ascii="Times New Roman" w:hAnsi="Times New Roman"/>
          <w:sz w:val="28"/>
          <w:szCs w:val="28"/>
        </w:rPr>
        <w:t>Гольцовка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км 78+280 автомобильной дороги </w:t>
      </w:r>
      <w:proofErr w:type="spellStart"/>
      <w:r>
        <w:rPr>
          <w:rFonts w:ascii="Times New Roman" w:hAnsi="Times New Roman"/>
          <w:sz w:val="28"/>
          <w:szCs w:val="28"/>
        </w:rPr>
        <w:t>Начиинский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революции;</w:t>
      </w:r>
    </w:p>
    <w:p w:rsidR="00DB53F0" w:rsidRDefault="007E0EB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мостового перехода через реку </w:t>
      </w:r>
      <w:proofErr w:type="spellStart"/>
      <w:r>
        <w:rPr>
          <w:rFonts w:ascii="Times New Roman" w:hAnsi="Times New Roman"/>
          <w:sz w:val="28"/>
          <w:szCs w:val="28"/>
        </w:rPr>
        <w:t>Михакина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км 1+743 автомобильной дороги Палана - строящийся аэропорт;</w:t>
      </w:r>
    </w:p>
    <w:p w:rsidR="00DB53F0" w:rsidRDefault="007E0EB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Палана на км 6+363 </w:t>
      </w:r>
      <w:proofErr w:type="spellStart"/>
      <w:r>
        <w:rPr>
          <w:rFonts w:ascii="Times New Roman" w:hAnsi="Times New Roman"/>
          <w:sz w:val="28"/>
          <w:szCs w:val="28"/>
        </w:rPr>
        <w:t>автомобльной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дороги Палана - строящийся аэропорт;</w:t>
      </w:r>
    </w:p>
    <w:p w:rsidR="00DB53F0" w:rsidRDefault="007E0EB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Реконструкция автомобильной дороги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совхоз - Усть-Большерецк –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- колхоз им. Октябрьской революции 0 - 107,2 км на участке км 5 - км 10;</w:t>
      </w:r>
    </w:p>
    <w:p w:rsidR="00DB53F0" w:rsidRDefault="007E0EB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Реконструкция автомобильной дороги Мильково - Ключи - Усть-Камчатск на участке км 0 - км 10;</w:t>
      </w:r>
    </w:p>
    <w:p w:rsidR="00DB53F0" w:rsidRDefault="007E0EB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автостанции регионального значения с реконструкцией имеющихся зданий и сооружений.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реализацию мероприятий по строительству и реконструкции автомобильных дорог было выделено 3 926,514 млн рублей, из них 3 484,322 млн рублей федеральный бюджет и 442,192 млн рублей краевой бюджет. Освоено 3 923,274 млн рублей (или 99,9% от предусмотренных ассигнований), в том числе: федеральный бюджет 3 484,322 млн рублей, краевой бюджет 438,952 млн рублей.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Осуществлялось содержание автомобильных дорог общего пользования местного значения в </w:t>
      </w:r>
      <w:proofErr w:type="spellStart"/>
      <w:r>
        <w:rPr>
          <w:rFonts w:ascii="Times New Roman" w:hAnsi="Times New Roman"/>
          <w:sz w:val="28"/>
          <w:szCs w:val="28"/>
        </w:rPr>
        <w:t>Олюторском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Карагинском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Елизовском, </w:t>
      </w:r>
      <w:proofErr w:type="gramStart"/>
      <w:r>
        <w:rPr>
          <w:rFonts w:ascii="Times New Roman" w:hAnsi="Times New Roman"/>
          <w:sz w:val="28"/>
          <w:szCs w:val="28"/>
        </w:rPr>
        <w:t>Алеутском  муниципальных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районах и в Елизовском городском поселении, а также в селах Мильково, </w:t>
      </w:r>
      <w:proofErr w:type="spellStart"/>
      <w:r>
        <w:rPr>
          <w:rFonts w:ascii="Times New Roman" w:hAnsi="Times New Roman"/>
          <w:sz w:val="28"/>
          <w:szCs w:val="28"/>
        </w:rPr>
        <w:t>Козыревск</w:t>
      </w:r>
      <w:proofErr w:type="spellEnd"/>
      <w:r>
        <w:rPr>
          <w:rFonts w:ascii="Times New Roman" w:hAnsi="Times New Roman"/>
          <w:sz w:val="28"/>
          <w:szCs w:val="28"/>
        </w:rPr>
        <w:t xml:space="preserve">, Ключевское, Каменское, </w:t>
      </w:r>
      <w:proofErr w:type="spellStart"/>
      <w:r>
        <w:rPr>
          <w:rFonts w:ascii="Times New Roman" w:hAnsi="Times New Roman"/>
          <w:sz w:val="28"/>
          <w:szCs w:val="28"/>
        </w:rPr>
        <w:t>Усть</w:t>
      </w:r>
      <w:proofErr w:type="spellEnd"/>
      <w:r>
        <w:rPr>
          <w:rFonts w:ascii="Times New Roman" w:hAnsi="Times New Roman"/>
          <w:sz w:val="28"/>
          <w:szCs w:val="28"/>
        </w:rPr>
        <w:t xml:space="preserve">-Камчатское, </w:t>
      </w:r>
      <w:proofErr w:type="spellStart"/>
      <w:r>
        <w:rPr>
          <w:rFonts w:ascii="Times New Roman" w:hAnsi="Times New Roman"/>
          <w:sz w:val="28"/>
          <w:szCs w:val="28"/>
        </w:rPr>
        <w:t>Слаутное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Аянка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Таловка в размере 47,749 млн рублей, в том числе за счет средств краевого бюджета 42,975 и местного бюджета 4,774 млн рублей.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</w:t>
      </w:r>
      <w:r>
        <w:rPr>
          <w:rFonts w:ascii="Times New Roman" w:hAnsi="Times New Roman"/>
          <w:sz w:val="28"/>
          <w:szCs w:val="28"/>
          <w:lang w:eastAsia="ru-RU"/>
        </w:rPr>
        <w:t xml:space="preserve">на реализацию мероприятия плана социального развития центров экономического роста Камчатского края «Создание инфраструктуры на территориях компактно расположенных земельных участков программы «Дальневосточный гектар» </w:t>
      </w:r>
      <w:r>
        <w:rPr>
          <w:rFonts w:ascii="Times New Roman" w:hAnsi="Times New Roman"/>
          <w:sz w:val="28"/>
          <w:szCs w:val="28"/>
        </w:rPr>
        <w:t xml:space="preserve">оказывалась финансовая поддержка муниципальных образований в Камчатском крае, направленная на развитие дорожного хозяйства за счет средств федерального бюджета в объеме 63,861 млн рублей </w:t>
      </w:r>
      <w:proofErr w:type="spellStart"/>
      <w:r>
        <w:rPr>
          <w:rFonts w:ascii="Times New Roman" w:hAnsi="Times New Roman"/>
          <w:sz w:val="28"/>
          <w:szCs w:val="28"/>
        </w:rPr>
        <w:t>Вулканному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городскому поселению, </w:t>
      </w:r>
      <w:proofErr w:type="spellStart"/>
      <w:r>
        <w:rPr>
          <w:rFonts w:ascii="Times New Roman" w:hAnsi="Times New Roman"/>
          <w:sz w:val="28"/>
          <w:szCs w:val="28"/>
        </w:rPr>
        <w:t>Раздольненскому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 и </w:t>
      </w:r>
      <w:proofErr w:type="spellStart"/>
      <w:r>
        <w:rPr>
          <w:rFonts w:ascii="Times New Roman" w:hAnsi="Times New Roman"/>
          <w:sz w:val="28"/>
          <w:szCs w:val="28"/>
        </w:rPr>
        <w:t>Елизовскому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району.   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мероприятия строительство основной дороги туристическо-рекреационного комплекса «Паратунка», съездов к участкам было выделено и освоено 263,346 млн рублей. ГРБС Министерство экономического развития Камчатского края.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 обеспечению информационной поддержки мероприятий по обеспечению безопасности дорожного движения заключены договора на выполнение рекламно-информационных работ на сумму 2,981 млн рублей с ООО «</w:t>
      </w:r>
      <w:proofErr w:type="spellStart"/>
      <w:r>
        <w:rPr>
          <w:rFonts w:ascii="Times New Roman" w:hAnsi="Times New Roman"/>
          <w:sz w:val="28"/>
          <w:szCs w:val="28"/>
        </w:rPr>
        <w:t>Камчатмедиасервис</w:t>
      </w:r>
      <w:proofErr w:type="spellEnd"/>
      <w:r>
        <w:rPr>
          <w:rFonts w:ascii="Times New Roman" w:hAnsi="Times New Roman"/>
          <w:sz w:val="28"/>
          <w:szCs w:val="28"/>
        </w:rPr>
        <w:t>», ООО «Редакция «Радио Тройка», ООО «Рекламное агентство Силуэт», ООО «Три Медведя» и ООО «Регион ТВ» по размещению (и производству) рекламно-информационных материалов в рамках исполнения мероприятия «Обеспечение информационной поддержки мероприятий по обеспечению безопасности дорожного движения».</w:t>
      </w:r>
    </w:p>
    <w:p w:rsidR="00DB53F0" w:rsidRDefault="007E0EB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Выполнены работы по ремонту автомобильных дорог общего пользования местного значения на сумму 247,516 млн рублей, в том числе за счет средств краевого бюджета 222,765 млн рублей и за счет средств местного бюджета 24,751 млн рублей.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регионального </w:t>
      </w:r>
      <w:r>
        <w:rPr>
          <w:rFonts w:ascii="Times New Roman" w:eastAsia="Cambria" w:hAnsi="Times New Roman"/>
          <w:sz w:val="28"/>
          <w:szCs w:val="28"/>
        </w:rPr>
        <w:t>проекта «Региональная и местная дорожная сеть (Камчатский край)»</w:t>
      </w:r>
      <w:r>
        <w:rPr>
          <w:rFonts w:ascii="Times New Roman" w:hAnsi="Times New Roman"/>
          <w:sz w:val="28"/>
          <w:szCs w:val="28"/>
        </w:rPr>
        <w:t xml:space="preserve"> (далее – БКД) в 2022 году завершены </w:t>
      </w:r>
      <w:r>
        <w:rPr>
          <w:rFonts w:ascii="Times New Roman" w:eastAsia="Cambria" w:hAnsi="Times New Roman"/>
          <w:sz w:val="28"/>
          <w:szCs w:val="28"/>
        </w:rPr>
        <w:t>работы по достижению целевых показателей данного регионального проекта: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дорожной сети городских агломераций, находящаяся в нормативном состоянии» (в размере 69%) до 78,17 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автомобильных дорог регионального и межмуниципального значения, соответствующих нормативным требованиям» (в размере 49,44%) до 683,86 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lastRenderedPageBreak/>
        <w:t>- «Доля отечественного оборудования (товаров, работ, услуг) в общем объеме закупок» (в размере 62%).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этих целей </w:t>
      </w:r>
      <w:r>
        <w:rPr>
          <w:rFonts w:ascii="Times New Roman" w:hAnsi="Times New Roman"/>
          <w:b/>
          <w:sz w:val="28"/>
          <w:szCs w:val="28"/>
        </w:rPr>
        <w:t>реализовано 10 объектов общей протяженностью 34,029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км </w:t>
      </w:r>
      <w:r>
        <w:rPr>
          <w:rFonts w:ascii="Times New Roman" w:hAnsi="Times New Roman"/>
          <w:sz w:val="28"/>
          <w:szCs w:val="28"/>
        </w:rPr>
        <w:t>в том числе: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37 км</w:t>
      </w:r>
      <w:r>
        <w:rPr>
          <w:rFonts w:ascii="Times New Roman" w:hAnsi="Times New Roman"/>
          <w:sz w:val="28"/>
          <w:szCs w:val="28"/>
        </w:rPr>
        <w:t xml:space="preserve"> - на сети автодорог регионального значения;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6,236 км</w:t>
      </w:r>
      <w:r>
        <w:rPr>
          <w:rFonts w:ascii="Times New Roman" w:hAnsi="Times New Roman"/>
          <w:sz w:val="28"/>
          <w:szCs w:val="28"/>
        </w:rPr>
        <w:t xml:space="preserve"> - на дорожной сети Петропавловск-Камчатской городской агломерации.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На региональной сети дорог реализовано 4 объекта общей протяженностью 37 км/59,23 </w:t>
      </w:r>
      <w:proofErr w:type="spellStart"/>
      <w:r>
        <w:rPr>
          <w:rFonts w:ascii="Times New Roman" w:hAnsi="Times New Roman"/>
          <w:b/>
          <w:sz w:val="28"/>
          <w:szCs w:val="28"/>
        </w:rPr>
        <w:t>пог.м</w:t>
      </w:r>
      <w:proofErr w:type="spellEnd"/>
      <w:r>
        <w:rPr>
          <w:rFonts w:ascii="Times New Roman" w:hAnsi="Times New Roman"/>
          <w:b/>
          <w:sz w:val="28"/>
          <w:szCs w:val="28"/>
        </w:rPr>
        <w:t>.: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автомобильной дороги с переходным типом покрытия Мильково – Ключи - Усть-Камчатск на участке км 105 - км 117, протяженностью 12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и содержание на принципах контракта жизненного цикла автомобильной дороги  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 на участке км 64 - км 75 (ремонт), протяженность 11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и содержание на принципах контракта жизненного цикла автомобильной дороги   </w:t>
      </w:r>
      <w:proofErr w:type="spellStart"/>
      <w:r>
        <w:rPr>
          <w:rFonts w:ascii="Times New Roman" w:hAnsi="Times New Roman"/>
          <w:sz w:val="28"/>
          <w:szCs w:val="28"/>
        </w:rPr>
        <w:t>Начикинский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с/х - Усть-Большерецк - п. Октябрьский с подъездом к пристани </w:t>
      </w:r>
      <w:proofErr w:type="spellStart"/>
      <w:r>
        <w:rPr>
          <w:rFonts w:ascii="Times New Roman" w:hAnsi="Times New Roman"/>
          <w:sz w:val="28"/>
          <w:szCs w:val="28"/>
        </w:rPr>
        <w:t>Косоево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колхозу Октябрьской революции на участке км 85 - км 99 (ремонт), протяженность 14 км;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моста и </w:t>
      </w:r>
      <w:proofErr w:type="spellStart"/>
      <w:r>
        <w:rPr>
          <w:rFonts w:ascii="Times New Roman" w:hAnsi="Times New Roman"/>
          <w:sz w:val="28"/>
          <w:szCs w:val="28"/>
        </w:rPr>
        <w:t>подмостовых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сооружений через р. Плотникова на автомобильной дороге Подъезд к санаторию </w:t>
      </w:r>
      <w:proofErr w:type="spellStart"/>
      <w:r>
        <w:rPr>
          <w:rFonts w:ascii="Times New Roman" w:hAnsi="Times New Roman"/>
          <w:sz w:val="28"/>
          <w:szCs w:val="28"/>
        </w:rPr>
        <w:t>Начики</w:t>
      </w:r>
      <w:proofErr w:type="spellEnd"/>
      <w:r>
        <w:rPr>
          <w:rFonts w:ascii="Times New Roman" w:hAnsi="Times New Roman"/>
          <w:sz w:val="28"/>
          <w:szCs w:val="28"/>
        </w:rPr>
        <w:t xml:space="preserve"> (мощность объекта 59,23 </w:t>
      </w:r>
      <w:proofErr w:type="spellStart"/>
      <w:r>
        <w:rPr>
          <w:rFonts w:ascii="Times New Roman" w:hAnsi="Times New Roman"/>
          <w:sz w:val="28"/>
          <w:szCs w:val="28"/>
        </w:rPr>
        <w:t>пог.м</w:t>
      </w:r>
      <w:proofErr w:type="spellEnd"/>
      <w:r>
        <w:rPr>
          <w:rFonts w:ascii="Times New Roman" w:hAnsi="Times New Roman"/>
          <w:sz w:val="28"/>
          <w:szCs w:val="28"/>
        </w:rPr>
        <w:t>.).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 дорожной сети Петропавловск-Камчатской городской агломерации реализовано 6 объектов общей протяженностью 6,236 км: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Красная Сопка» – протяженность 0,327 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Океанская» – протяженность 0,427 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Ларина» – протяженность 0,338 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Ленинградская» – протяженность 1,047 км;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«Ремонт ул. Приморская»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протяженность 3,313 км</w:t>
      </w:r>
      <w:r>
        <w:rPr>
          <w:rFonts w:ascii="Times New Roman" w:hAnsi="Times New Roman"/>
          <w:sz w:val="28"/>
          <w:szCs w:val="28"/>
        </w:rPr>
        <w:t>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«Ремонт ул. Светлая-Попова»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протяженность 0,784 км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Общая техническая готовность по всем объектам БКД составляет 100%.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Таким образом, размеры годовых целевых показателей достигнуты полностью.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ассигнований на реализацию мероприятий 2022 года составил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539,264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млн рублей, из которых средства: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краевого бюджета – 427,000 млн рублей;</w:t>
      </w:r>
    </w:p>
    <w:p w:rsidR="00DB53F0" w:rsidRDefault="007E0E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местного бюджета – 112,264 млн рублей</w:t>
      </w:r>
      <w:r>
        <w:rPr>
          <w:rFonts w:ascii="Times New Roman" w:hAnsi="Times New Roman"/>
          <w:sz w:val="28"/>
          <w:szCs w:val="28"/>
        </w:rPr>
        <w:t>.</w:t>
      </w:r>
    </w:p>
    <w:p w:rsidR="00DB53F0" w:rsidRDefault="007E0E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начато строительство подъезда к проектируемому аэровокзалу в г. Елизово от автомобильной дороги А-401 «Подъездная дорога от морского порта Петропавловск-Камчатский к аэропорту Петропавловск-Камчатский (Елизово) на участке 34». На данное мероприятие согласно заключенному с Федеральным Дорожным Агентством Соглашению от </w:t>
      </w:r>
      <w:r>
        <w:rPr>
          <w:rFonts w:ascii="Times New Roman" w:hAnsi="Times New Roman"/>
          <w:sz w:val="28"/>
          <w:szCs w:val="28"/>
        </w:rPr>
        <w:lastRenderedPageBreak/>
        <w:t>23.12.2021 № 108-17-2022-011 «О предоставлении иного межбюджетного трансферта, имеющего целевое назначение, из федерального бюджета бюджету субъекта Российской Федерации» Камчатскому краю в 2022 году предоставлен трансферт в объеме 428,082 млн рублей. Техническая готовность данного объекта – 48%.</w:t>
      </w:r>
    </w:p>
    <w:p w:rsidR="00DB53F0" w:rsidRDefault="007E0E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Регионального проекта «Развитие туристической инфраструктуры (Камчатский край)» в текущем году начато строительство автомобильной дороги общего пользования регионального значения Камчатского края «п. Термальный – туристический кластер «Три вулкана» </w:t>
      </w:r>
      <w:r>
        <w:rPr>
          <w:rFonts w:ascii="Times New Roman" w:hAnsi="Times New Roman"/>
          <w:sz w:val="28"/>
          <w:szCs w:val="28"/>
        </w:rPr>
        <w:br/>
        <w:t xml:space="preserve">(1-3 этапы). На данное мероприятие в 2022 году в рамках заключенного Соглашения о предоставлении субсидии из федерального бюджета бюджету субъекта Российской Федерации от 28.12.2022 № 108-09-2023-054, заключенного между Министерством строительства и жилищно-коммунального хозяйства Российской Федерации и Правительством Камчатского края из федерального бюджета предоставлена субсидия в объеме 2 726,240 млн рублей, и за счет средств краевого бюджета в объеме 27,538 млн рублей. Выплачен аванс подрядной организации ООО «Устой-М». </w:t>
      </w:r>
    </w:p>
    <w:p w:rsidR="00DB53F0" w:rsidRDefault="007E0E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основного мероприятия «Укрепление материально-технической базы дорожной отрасли Камчатского края» 11.05.2022 года заключен ГК с ООО «ДМ-Сервис» № 03-2022 на поставку автогрейдера. 31.08.2022 года произведена поставка автогрейдера и в дальнейшем передан в ГУП КК «ДРСУ».</w:t>
      </w:r>
    </w:p>
    <w:p w:rsidR="00DB53F0" w:rsidRDefault="007E0EB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2022 году заключен ГК с ООО «Фирма «Теса» от 27.06.2022 </w:t>
      </w:r>
      <w:r>
        <w:rPr>
          <w:rFonts w:ascii="Times New Roman" w:hAnsi="Times New Roman"/>
          <w:sz w:val="28"/>
          <w:szCs w:val="28"/>
        </w:rPr>
        <w:br/>
        <w:t>№ 06-2022 на поставку «Передвижная диагностическая линия технического контроля, мобильная контейнерного типа для грузовых и легковых автомобилей и автобусов с осевой нагрузкой не менее 13 т., с распашной крышей без ограничения высоты проезда» по основному мероприятию «Организация технического осмотра на территории Камчатского края».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2 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системы электронного проездного билета на муниципальных маршрутах городского сообщения позволило наладить учет фактически перевезенных пассажиров по маршрутам, и обеспечило предоставление субсидий автотранспортным предприятиям за перевозку пассажиров по сниженным тарифам по факту оказанных ими услуг. 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в Камчатском крае перевозка пассажиров автомобильным транспортом осуществлялась на 78 маршрутах, в том числе на 50 городских, </w:t>
      </w:r>
      <w:r>
        <w:rPr>
          <w:rFonts w:ascii="Times New Roman" w:hAnsi="Times New Roman"/>
          <w:sz w:val="28"/>
          <w:szCs w:val="28"/>
        </w:rPr>
        <w:br/>
        <w:t>23 пригородных и 5 междугородних маршрутах. Перевозку пассажиров на указанных маршрутах осуществляют 21 автотранспортное предприятие и предоставлена субсидия в размере 913,359 млн рублей.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в рамках реализации основного мероприятия «Создание объектов транспорт ной инфраструктуры в сфере организации перевозок пассажиров и багажа автомобильным транспортом общего пользования» </w:t>
      </w:r>
      <w:r>
        <w:rPr>
          <w:rFonts w:ascii="Times New Roman" w:hAnsi="Times New Roman"/>
          <w:sz w:val="28"/>
          <w:szCs w:val="28"/>
        </w:rPr>
        <w:lastRenderedPageBreak/>
        <w:t>13.04.2021 года заключен государственный контракт № 11 с ООО «</w:t>
      </w:r>
      <w:proofErr w:type="spellStart"/>
      <w:r>
        <w:rPr>
          <w:rFonts w:ascii="Times New Roman" w:hAnsi="Times New Roman"/>
          <w:sz w:val="28"/>
          <w:szCs w:val="28"/>
        </w:rPr>
        <w:t>Хабаровскремпроект</w:t>
      </w:r>
      <w:proofErr w:type="spellEnd"/>
      <w:r>
        <w:rPr>
          <w:rFonts w:ascii="Times New Roman" w:hAnsi="Times New Roman"/>
          <w:sz w:val="28"/>
          <w:szCs w:val="28"/>
        </w:rPr>
        <w:t xml:space="preserve">» на проектные работы по строительству автостанции регионального значения с реконструкцией имеющихся зданий и сооружений. Осуществлен выкуп земель в размере 16,814 млн рублей. 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функционирования автостанции в с. Мильково Мильковскому муниципальному району из бюджета Камчатского края на условиях </w:t>
      </w:r>
      <w:proofErr w:type="spellStart"/>
      <w:r>
        <w:rPr>
          <w:rFonts w:ascii="Times New Roman" w:hAnsi="Times New Roman"/>
          <w:sz w:val="28"/>
          <w:szCs w:val="28"/>
        </w:rPr>
        <w:t>софинасирования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предоставлена субсидия в размере 14,300 млн рублей.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151515"/>
          <w:sz w:val="28"/>
          <w:szCs w:val="28"/>
          <w:shd w:val="clear" w:color="auto" w:fill="FBFBFB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color w:val="151515"/>
          <w:sz w:val="28"/>
          <w:szCs w:val="28"/>
          <w:shd w:val="clear" w:color="auto" w:fill="FBFBFB"/>
        </w:rPr>
        <w:t xml:space="preserve"> 2022 года Минтранс поэтапно начал переходить на новую модель взаимодействия с перевозчиками с заключением государственных брутто-контрактов на осуществление регулярных перевозок пассажиров и багажа автомобильным транспортом по регулируемым тарифам. По результатам проведенного аукциона в июле 2022 года с индивидуальным предпринимателем </w:t>
      </w:r>
      <w:proofErr w:type="spellStart"/>
      <w:r>
        <w:rPr>
          <w:rFonts w:ascii="Times New Roman" w:hAnsi="Times New Roman"/>
          <w:color w:val="151515"/>
          <w:sz w:val="28"/>
          <w:szCs w:val="28"/>
          <w:shd w:val="clear" w:color="auto" w:fill="FBFBFB"/>
        </w:rPr>
        <w:t>Турчыном</w:t>
      </w:r>
      <w:proofErr w:type="spellEnd"/>
      <w:r>
        <w:rPr>
          <w:rFonts w:ascii="Times New Roman" w:hAnsi="Times New Roman"/>
          <w:color w:val="151515"/>
          <w:sz w:val="28"/>
          <w:szCs w:val="28"/>
          <w:shd w:val="clear" w:color="auto" w:fill="FBFBFB"/>
        </w:rPr>
        <w:t xml:space="preserve"> И.О. заключен государственный контракт на выполнение работ по двум пригородным маршрутам № 120 и № 123.  Общая сумма контракта до 31.12.2023 года составила 68,5 млн рублей. Освоено 16,603 млн рублей. 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в рамках основного мероприятия «Организация перевозок пассажиров автомобильным транспортом на внутримуниципальных маршрутах городского, пригородного сообщения по сниженным тарифам» предоставлена субсидия </w:t>
      </w:r>
      <w:proofErr w:type="spellStart"/>
      <w:r>
        <w:rPr>
          <w:rFonts w:ascii="Times New Roman" w:hAnsi="Times New Roman"/>
          <w:sz w:val="28"/>
          <w:szCs w:val="28"/>
        </w:rPr>
        <w:t>Елизовскому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району в размере 60,362 млн. рублей. 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3 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мероприятий данной Подпрограммы и в целях развития межмуниципальных и внутримуниципальных пассажирских перевозок в 2022 году продолжено оказание поддержки организациям, осуществляющим деятельность в сфере перевозок пассажиров водным транспортом на межмуниципальных маршрутах в размере 12,968 млн рублей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позволило перевести </w:t>
      </w:r>
      <w:r>
        <w:rPr>
          <w:rFonts w:ascii="Times New Roman" w:hAnsi="Times New Roman"/>
          <w:bCs/>
          <w:sz w:val="28"/>
          <w:szCs w:val="28"/>
        </w:rPr>
        <w:t xml:space="preserve">ГУП «Камчаттрансфлот» </w:t>
      </w:r>
      <w:r>
        <w:rPr>
          <w:rFonts w:ascii="Times New Roman" w:hAnsi="Times New Roman"/>
          <w:sz w:val="28"/>
          <w:szCs w:val="28"/>
        </w:rPr>
        <w:t>на судне «Василий Завойко» 410 пассажиров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B53F0" w:rsidRDefault="007E0EB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2022 году на основании акта приема-передачи от 08.04.2022 года осуществлена приемка грузопассажирских барж грузоподъемностью 20 тонн «АТЛАСОВО» и «ТАЁЖНАЯ» по основному мероприятию «Обновление парка транспортных средств организаций водного транспорта». </w:t>
      </w:r>
    </w:p>
    <w:p w:rsidR="00D66D62" w:rsidRDefault="00D66D62">
      <w:pPr>
        <w:tabs>
          <w:tab w:val="left" w:pos="0"/>
          <w:tab w:val="left" w:pos="709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845E2">
        <w:rPr>
          <w:rFonts w:ascii="Times New Roman" w:hAnsi="Times New Roman"/>
          <w:sz w:val="28"/>
          <w:szCs w:val="28"/>
        </w:rPr>
        <w:t>В целях развития перевозок пассажиров водным транспортом в муниципальном сообщении в 2022 году продолжено оказание поддержки организациям</w:t>
      </w:r>
      <w:r w:rsidRPr="006845E2">
        <w:rPr>
          <w:rFonts w:ascii="Times New Roman" w:hAnsi="Times New Roman"/>
          <w:i/>
          <w:sz w:val="28"/>
          <w:szCs w:val="28"/>
        </w:rPr>
        <w:t>,</w:t>
      </w:r>
      <w:r w:rsidRPr="006845E2">
        <w:rPr>
          <w:rFonts w:ascii="Times New Roman" w:hAnsi="Times New Roman"/>
          <w:sz w:val="28"/>
          <w:szCs w:val="28"/>
        </w:rPr>
        <w:t xml:space="preserve"> что позволило перевести </w:t>
      </w:r>
      <w:r w:rsidRPr="006845E2">
        <w:rPr>
          <w:rFonts w:ascii="Times New Roman" w:hAnsi="Times New Roman"/>
          <w:bCs/>
          <w:sz w:val="28"/>
          <w:szCs w:val="28"/>
        </w:rPr>
        <w:t xml:space="preserve">ГУП «Камчаттрансфлот» </w:t>
      </w:r>
      <w:r w:rsidRPr="006845E2">
        <w:rPr>
          <w:rFonts w:ascii="Times New Roman" w:hAnsi="Times New Roman"/>
          <w:sz w:val="28"/>
          <w:szCs w:val="28"/>
        </w:rPr>
        <w:t xml:space="preserve">на воздушной подушке </w:t>
      </w:r>
      <w:r w:rsidR="006E04A6" w:rsidRPr="006845E2">
        <w:rPr>
          <w:rFonts w:ascii="Times New Roman" w:hAnsi="Times New Roman"/>
          <w:sz w:val="28"/>
          <w:szCs w:val="28"/>
        </w:rPr>
        <w:t xml:space="preserve">СВП «БАРС» </w:t>
      </w:r>
      <w:r w:rsidRPr="006845E2">
        <w:rPr>
          <w:rFonts w:ascii="Times New Roman" w:hAnsi="Times New Roman"/>
          <w:sz w:val="28"/>
          <w:szCs w:val="28"/>
        </w:rPr>
        <w:t xml:space="preserve">по маршруту Манилы – Каменское, </w:t>
      </w:r>
      <w:proofErr w:type="spellStart"/>
      <w:r w:rsidRPr="006845E2">
        <w:rPr>
          <w:rFonts w:ascii="Times New Roman" w:hAnsi="Times New Roman"/>
          <w:sz w:val="28"/>
          <w:szCs w:val="28"/>
        </w:rPr>
        <w:t>Тиличики</w:t>
      </w:r>
      <w:proofErr w:type="spellEnd"/>
      <w:r w:rsidRPr="006845E2">
        <w:rPr>
          <w:rFonts w:ascii="Times New Roman" w:hAnsi="Times New Roman"/>
          <w:sz w:val="28"/>
          <w:szCs w:val="28"/>
        </w:rPr>
        <w:t xml:space="preserve"> – Корф 2 756 пассажиров в размере 2,585 млн. рублей.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eastAsia="+mn-ea" w:hAnsi="Times New Roman"/>
          <w:bCs/>
          <w:kern w:val="2"/>
          <w:sz w:val="28"/>
          <w:szCs w:val="28"/>
        </w:rPr>
      </w:pPr>
      <w:r>
        <w:rPr>
          <w:rFonts w:ascii="Times New Roman" w:eastAsia="+mn-ea" w:hAnsi="Times New Roman"/>
          <w:bCs/>
          <w:kern w:val="2"/>
          <w:sz w:val="28"/>
          <w:szCs w:val="28"/>
        </w:rPr>
        <w:t xml:space="preserve">В рамках основного мероприятия «Приобретение специализированного автотранспорта и оборудования для обеспечения работы морских судов» 14.06.2022 года заключение контракта с ООО «ПЕТРОПАВЛОВСК-КАМЧАТСКИЙ АВТОЦЕНТР КАМАЗ» № 04-2022 на поставку </w:t>
      </w:r>
      <w:r>
        <w:rPr>
          <w:rFonts w:ascii="Times New Roman" w:eastAsia="+mn-ea" w:hAnsi="Times New Roman"/>
          <w:bCs/>
          <w:kern w:val="2"/>
          <w:sz w:val="28"/>
          <w:szCs w:val="28"/>
        </w:rPr>
        <w:lastRenderedPageBreak/>
        <w:t xml:space="preserve">«Транспортного средства, оснащенного краном-манипулятором. 17.10.2022 года осуществлена поставка Бортового автомобиля с КМУ на базе КАМАЗ и передан в ГУП </w:t>
      </w:r>
      <w:r>
        <w:rPr>
          <w:rFonts w:ascii="Times New Roman" w:hAnsi="Times New Roman"/>
          <w:bCs/>
          <w:sz w:val="28"/>
          <w:szCs w:val="28"/>
        </w:rPr>
        <w:t>«Камчаттрансфлот»</w:t>
      </w:r>
      <w:r>
        <w:rPr>
          <w:rFonts w:ascii="Times New Roman" w:eastAsia="+mn-ea" w:hAnsi="Times New Roman"/>
          <w:bCs/>
          <w:kern w:val="2"/>
          <w:sz w:val="28"/>
          <w:szCs w:val="28"/>
        </w:rPr>
        <w:t>.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мероприятий данной подпрограммы в 2022 году предоставлена государственная поддержка организациям, осуществляющих деятельность в сфере воздушных межмуниципальных перевозок населения на территории Камчатского края в сумме 940,934 млн рублей, что позволило в 2022 году перевезти 58 600 человек по субсидируемым маршрутам. Международный аэропорт Петропавловск-Камчатский (Елизово) обслужил 856 000 пассажиров.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5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«ОБЕСПЕЧЕНИЕ РЕАЛИЗАЦИИ ПРОГРАММЫ»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Подпрограммы в 2022 году осуществлялось обеспечение деятельности Министерства и подведомственного учреждения КГКУ «Камчатуправтодор».</w:t>
      </w:r>
    </w:p>
    <w:p w:rsidR="00DB53F0" w:rsidRDefault="00DB53F0">
      <w:pPr>
        <w:pStyle w:val="af8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. 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плановые.</w:t>
      </w: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b/>
          <w:color w:val="1F497D"/>
          <w:sz w:val="28"/>
          <w:szCs w:val="28"/>
        </w:rPr>
      </w:pPr>
    </w:p>
    <w:p w:rsidR="00DB53F0" w:rsidRDefault="007E0E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DB53F0" w:rsidRDefault="007E0E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DB53F0" w:rsidRDefault="007E0EB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 «Содержание и ремонт автомобильных дорог общего пользования местного значения» в 2022 году – 49,7 км;</w:t>
      </w:r>
    </w:p>
    <w:p w:rsidR="00DB53F0" w:rsidRDefault="007E0E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 «Доля дорожной сети города Петропавловск-Камчатского (городская агломерация), соответствующей нормативным требованиям к транспортно-эксплуатационным показателям» в 2022 году – 48,3%. Показатель немого увеличился в связи с реализацией дополнительных объектов за счет средств, образовавшихся по итогам проведения тендерных процедур по основным объектам;</w:t>
      </w:r>
    </w:p>
    <w:p w:rsidR="00DB53F0" w:rsidRDefault="007E0E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«Доля дорожной сети города Петропавловска-Камчатского (городская агломерация), соответствующей нормативным требованиям к транспортно-эксплуатационным показателям» в 2022 году – 74%;</w:t>
      </w:r>
    </w:p>
    <w:p w:rsidR="00DB53F0" w:rsidRDefault="007E0EB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1.4. «Протяженность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итогом)» в 2022 году – 0,05923 </w:t>
      </w:r>
      <w:proofErr w:type="spellStart"/>
      <w:r>
        <w:rPr>
          <w:rFonts w:ascii="Times New Roman" w:hAnsi="Times New Roman"/>
          <w:sz w:val="28"/>
          <w:szCs w:val="28"/>
        </w:rPr>
        <w:t>тыс.пог.м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B53F0" w:rsidRDefault="007E0EB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1.5. «Доля дорожной сети городских агломераций, находящаяся в нормативном состоянии» в 2022 году – 74%;</w:t>
      </w:r>
    </w:p>
    <w:p w:rsidR="00DB53F0" w:rsidRDefault="007E0EB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1.6. «Количество погибших в дорожно-транспортных происшествиях на 100 тысяч населения» в 2022 году – 37 чел. </w:t>
      </w:r>
      <w:r>
        <w:rPr>
          <w:rFonts w:ascii="Times New Roman" w:hAnsi="Times New Roman"/>
          <w:color w:val="000000"/>
          <w:sz w:val="28"/>
          <w:szCs w:val="28"/>
        </w:rPr>
        <w:t>Показатель уменьшился в связи со снижением случаев ДТП;</w:t>
      </w:r>
    </w:p>
    <w:p w:rsidR="00DB53F0" w:rsidRDefault="007E0EB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1.7. «Количество погибших в дорожно-транспортных происшествиях на 100 тысяч населения» в 2022 году – 12 чел. </w:t>
      </w:r>
      <w:r>
        <w:rPr>
          <w:rFonts w:ascii="Times New Roman" w:hAnsi="Times New Roman"/>
          <w:color w:val="000000"/>
          <w:sz w:val="28"/>
          <w:szCs w:val="28"/>
        </w:rPr>
        <w:t>Показатель уменьшился в связи со снижением случаев ДТП;</w:t>
      </w:r>
    </w:p>
    <w:p w:rsidR="00DB53F0" w:rsidRDefault="007E0EB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1.8. «Количество передвижных пунктов технического осмотра транспортных средств, приобретенных за счет средств краевого бюджета» в 2022 году – 1 ед. 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2 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DB53F0" w:rsidRDefault="007E0EB0">
      <w:pPr>
        <w:tabs>
          <w:tab w:val="left" w:pos="0"/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 «Выполнение объема работ по перевозке пассажиров в соответствии с государственным (муниципальным) контрактом, заданием» в 2022 году – 95%;</w:t>
      </w:r>
    </w:p>
    <w:p w:rsidR="00DB53F0" w:rsidRDefault="007E0EB0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2.2. «Средний возраст пассажирских транспортных средств общего пользования» в 2022 году – 11,00 ед. Снижение показателя обусловлено подготовкой автотранспортных предприятий к участию в конкурсных процедурах на выполнение работ, связанных с осуществлением регулярных </w:t>
      </w:r>
      <w:r>
        <w:rPr>
          <w:rFonts w:ascii="Times New Roman" w:hAnsi="Times New Roman"/>
          <w:sz w:val="28"/>
          <w:szCs w:val="28"/>
        </w:rPr>
        <w:lastRenderedPageBreak/>
        <w:t>перевозок пассажиров на маршрутах межмуниципального и муниципального сообщения и обновлению парка транспортных средств;</w:t>
      </w:r>
    </w:p>
    <w:p w:rsidR="00DB53F0" w:rsidRDefault="007E0EB0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2.3. «Количество автовокзалов и автостанций в Камчатском крае» в 2022 году – 1 ед.</w:t>
      </w:r>
    </w:p>
    <w:p w:rsidR="00DB53F0" w:rsidRDefault="007E0EB0">
      <w:pPr>
        <w:tabs>
          <w:tab w:val="left" w:pos="0"/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2.4. «Доля межмуниципальных маршрутов, проходящих через муниципальное образование и обсуживающихся на объекте транспортной инфраструктуры» в 2022 году – 100%.</w:t>
      </w:r>
    </w:p>
    <w:p w:rsidR="00DB53F0" w:rsidRDefault="007E0EB0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3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«Количество перевезенных пассажиров, водным транспортом по субсидированным тарифам» в 2022 году на межмуниципальных маршрутах – 0,41 тыс. человек. По погодным условиям не выполнены рейсы в 12.2021 года, 03.2022 и 11.2022 года, судно находилось в ремонте с 18.04.2022 по 16.05.2022 года, предъявление РМРС с 17.05.2022 по 15.05.2022 года;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2. «Количество груза, перевезённого судами ГУП «Камчаттрансфлот» в 2022 году – 17,56 тыс. тонн.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Дополнительные объемы по перевозке угля ООО «Вертикаль» и грузов по АО «БГК»;</w:t>
      </w:r>
    </w:p>
    <w:p w:rsidR="00DB53F0" w:rsidRPr="006845E2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«Грузооборот Петропавловск-Камчатского морского порта» в 2022 году </w:t>
      </w:r>
      <w:r w:rsidRPr="006845E2">
        <w:rPr>
          <w:rFonts w:ascii="Times New Roman" w:hAnsi="Times New Roman"/>
          <w:sz w:val="28"/>
          <w:szCs w:val="28"/>
        </w:rPr>
        <w:t>– 4,40 млн. тонн.</w:t>
      </w:r>
      <w:r w:rsidRPr="006845E2">
        <w:t xml:space="preserve"> </w:t>
      </w:r>
      <w:r w:rsidRPr="006845E2">
        <w:rPr>
          <w:rFonts w:ascii="Times New Roman" w:hAnsi="Times New Roman"/>
          <w:sz w:val="28"/>
          <w:szCs w:val="28"/>
        </w:rPr>
        <w:t>Увеличение грузооборота;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5E2">
        <w:rPr>
          <w:rFonts w:ascii="Times New Roman" w:hAnsi="Times New Roman"/>
          <w:sz w:val="28"/>
          <w:szCs w:val="28"/>
        </w:rPr>
        <w:t>3.4. «Количество пассажиров, перевезенных водным транспортом в муниципальном сообщении» в 2022 году – 2</w:t>
      </w:r>
      <w:r w:rsidR="00522D51" w:rsidRPr="006845E2">
        <w:rPr>
          <w:rFonts w:ascii="Times New Roman" w:hAnsi="Times New Roman"/>
          <w:sz w:val="28"/>
          <w:szCs w:val="28"/>
        </w:rPr>
        <w:t>,756</w:t>
      </w:r>
      <w:r w:rsidRPr="006845E2">
        <w:rPr>
          <w:rFonts w:ascii="Times New Roman" w:hAnsi="Times New Roman"/>
          <w:sz w:val="28"/>
          <w:szCs w:val="28"/>
        </w:rPr>
        <w:t xml:space="preserve"> тыс. человек. За счет новых судов ГПБ «Таежная» и ГПБ «Атласово»</w:t>
      </w:r>
      <w:r w:rsidR="00522D51" w:rsidRPr="006845E2">
        <w:rPr>
          <w:rFonts w:ascii="Times New Roman" w:hAnsi="Times New Roman"/>
          <w:sz w:val="28"/>
          <w:szCs w:val="28"/>
        </w:rPr>
        <w:t xml:space="preserve">, а также СВП по маршруту п. Манилы – Каменское, п. </w:t>
      </w:r>
      <w:proofErr w:type="spellStart"/>
      <w:r w:rsidR="00522D51" w:rsidRPr="006845E2">
        <w:rPr>
          <w:rFonts w:ascii="Times New Roman" w:hAnsi="Times New Roman"/>
          <w:sz w:val="28"/>
          <w:szCs w:val="28"/>
        </w:rPr>
        <w:t>Тиличики</w:t>
      </w:r>
      <w:proofErr w:type="spellEnd"/>
      <w:r w:rsidR="00522D51" w:rsidRPr="006845E2">
        <w:rPr>
          <w:rFonts w:ascii="Times New Roman" w:hAnsi="Times New Roman"/>
          <w:sz w:val="28"/>
          <w:szCs w:val="28"/>
        </w:rPr>
        <w:t xml:space="preserve"> – Корф</w:t>
      </w:r>
      <w:r w:rsidRPr="006845E2">
        <w:rPr>
          <w:rFonts w:ascii="Times New Roman" w:hAnsi="Times New Roman"/>
          <w:sz w:val="28"/>
          <w:szCs w:val="28"/>
        </w:rPr>
        <w:t>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«Количество приобретенных морских судов» в 2022 году – 2 ед. В связи с несоблюдением сроков исполнения государственных контрактов поставщиком. Срок поставки определен на I квартал 2023 года;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«Выполнение объема работ по ремонту судов в размере не менее 70% от программы ремонтов в отчетном периоде» в 2022 году – 87%. В связи с увеличением программы ремонта судов;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«Количество объектов затонувшего имущества, удаленных из акватории, прилегающей к морскому побережью Камчатского края» в 2022 году – 25. Суда подняты в рамках предпринимательской инициативе. 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DB53F0" w:rsidRDefault="007E0E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«Общий объем пассажирских перевозок воздушным транспортом» в 2022 году – 856 тыс. человек. Незначительное увеличение пассажиропотока.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«Количество пассажиров, перевезенных воздушным транспортом по субсидированным тарифам на межмуниципальных маршрутах» в 2022 году – 58,60 тыс. человек. Незначительное увеличение пассажиропотока.</w:t>
      </w: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45E2" w:rsidRDefault="00684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b/>
          <w:sz w:val="28"/>
          <w:szCs w:val="28"/>
        </w:rPr>
        <w:t>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программ (в том числе, контрольных событий).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Подпрограмме 1</w:t>
      </w:r>
      <w:r>
        <w:rPr>
          <w:rFonts w:ascii="Times New Roman" w:hAnsi="Times New Roman" w:cs="Times New Roman"/>
          <w:sz w:val="28"/>
          <w:szCs w:val="28"/>
        </w:rPr>
        <w:t xml:space="preserve"> в 2022 году не освоение составило 54,013 млн рублей по следующим основным мероприятиям: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1.1 «Капитальный ремонт, ремонт, содержание автомобильных дорог общего пользования регионального и межмуниципального значения» – 41,428 млн. рублей, в связи с несвоевременным исполнением Подрядчиками своих обязательств, в основном по контрактам на разработку проектной документации; 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1.3 «Проектирование, строительство и реконструкция автомобильных дорог регионального и межмуниципального значения» – 7,688 млн. рублей, в связи несвоевременным исполнением Подрядчиками своих обязательств по контрактам на разработку проектной документации по следующим объектам: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автомобильной дороги Петропавловск-Камчатский – Мильково на участке км 12 - км 17 с подъездом к федеральной дороге» 2 этап -  разработка корректировки проектной документации;</w:t>
      </w:r>
    </w:p>
    <w:p w:rsidR="00DB53F0" w:rsidRDefault="007E0EB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Реконструкция мостового перехода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. Хуторской на км 1+698 автомобильной дороги Елизово - Паратунка, 4 км - п. Садовый – Учебный центр;</w:t>
      </w:r>
    </w:p>
    <w:p w:rsidR="00DB53F0" w:rsidRDefault="007E0EB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Реконструкция мостового перехода через реку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км 1+743 автомобильной дороги Палана - строящийся аэропорт. К Подрядчикам применены штрафные санкции;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основному мероприятию 1.6 «Финансовая поддержка муниципальных образований в Камчатском крае, направленная на развитие дорожного хозяйства» в размере 2,022 млн рублей за счет средств федерального бюджета, в связи с экономией по торгам;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1.8 «Обеспечение информационной поддержки мероприятий по обеспечению безопасности дорожного движения» в ра</w:t>
      </w:r>
      <w:r w:rsidR="001E7E8B">
        <w:rPr>
          <w:rFonts w:ascii="Times New Roman" w:hAnsi="Times New Roman" w:cs="Times New Roman"/>
          <w:sz w:val="28"/>
          <w:szCs w:val="28"/>
        </w:rPr>
        <w:t>змере 1,099 млн рублей экономия.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Региональному проекту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 «Региональная и местная дорожная сеть (Камчатский край)» в размере 1,776 млн рублей по объекту «С</w:t>
      </w:r>
      <w:r>
        <w:rPr>
          <w:rFonts w:ascii="Times New Roman" w:hAnsi="Times New Roman"/>
          <w:sz w:val="28"/>
          <w:szCs w:val="28"/>
        </w:rPr>
        <w:t xml:space="preserve">троительство подъезда к проектируемому аэровокзалу в г. Елизово от автомобильной дороги А-401 «Подъездная дорога от морского порта Петропавловск-Камчатский к аэропорту Петропавловск-Камчатский (Елизово) на участке 34». Неиспользованный остаток средств сложился из средств, предусмотренных на корректировку проекта и оплату государственной экспертизы, но в связи с поздним (14.12.2022 года.) внесением изменений в технические условия на переустройство линии наружного освещения, принадлежащих ФКУ ДСД Дальний Восток» срок корректировки проектной документации и похождение экспертизы, был передвинут.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Подпрограмме 2</w:t>
      </w:r>
      <w:r>
        <w:rPr>
          <w:rFonts w:ascii="Times New Roman" w:hAnsi="Times New Roman" w:cs="Times New Roman"/>
          <w:sz w:val="28"/>
          <w:szCs w:val="28"/>
        </w:rPr>
        <w:t xml:space="preserve"> в 2022 году не освоение средств краевого бюджета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составило 13,688 млн. рублей по следующим основным мероприятиям: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2.1 «Государственная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края» – 7,305 млн. рублей, в связи с уменьшением количества перевезенных пассажиров;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2.3 «Создание объектов транспортной инфраструктуры в сфере организации перевозок пассажиров и багажа автомобильным транспортом общего пользования» – 6,264 млн. рублей, в связи с несвоевременным исполнением Подрядчиком своих обязательств по контракту на Строительство автостанции регионального значения с реконструкцией имеющихся зданий и сооружений;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2.8 «Организация перевозок пассажиров автомобильным транспортом на внутримуниципальных маршрутах городского, пригородного сообщения по сниженным тарифам» – 0,118 млн. рублей, в связи с уменьшением количества перевезенных пассажиров. 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Подпрограмме 3</w:t>
      </w:r>
      <w:r>
        <w:rPr>
          <w:rFonts w:ascii="Times New Roman" w:hAnsi="Times New Roman" w:cs="Times New Roman"/>
          <w:sz w:val="28"/>
          <w:szCs w:val="28"/>
        </w:rPr>
        <w:t xml:space="preserve"> в 2022 году не освоение средств краевого бюджета составило 49,757 млн рублей по следующим основным мероприятиям: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3.1 «Государственная поддержка организаций, осуществляющих деятельность в сфере перевозок пассажиров водным транспортом на межмуниципальных маршрутах» – 1,200 млн рублей в связи с уточнением потребности на указанные цели;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соновному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мероприятию 3.3 «Обновление парка транспортных средств организаций водного транспорта» в размере 44,466 млн рублей в связи с несвоевременной поставкой грузопассажирской баржи грузоподъёмностью 40 тонн;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3.4 «Государственная поддержка организаций, осуществляющих деятельность в сфере перевозок пассажиров водным транспортом в муниципальном сообщении» – 0,591 млн рублей экономия;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3.7 «Организация работ по подъему и удалению затонувшего имущества в акватории, прилегающей к морскому побережью Камчатского края» в размере 3,500 млн рублей. 31.10.2022 года заключен договор на водолазное обследование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плавдока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составление технического задания по разработке судоподъемной документации. Работы подрядчиком не выполнены. 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Подпрограмме 4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 году не освоение средств краевого бюджета составило 3,664 млн. рублей по основному мероприятию 4.1 «Государственная поддержка организаций, осуществляющих деятельность в сфере воздушных межмуниципальных перевозок населения».</w:t>
      </w:r>
    </w:p>
    <w:p w:rsidR="00DB53F0" w:rsidRDefault="007E0EB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Подпрограммы 5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 году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освоение средств краевого бюджета составило 5,312 млн рублей. </w:t>
      </w:r>
    </w:p>
    <w:p w:rsidR="00DB53F0" w:rsidRDefault="00DB53F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3F0" w:rsidRDefault="00DB53F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3F0" w:rsidRDefault="007E0EB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Анализ факторов, повлиявших на ход реализации государственной программы.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на 01.01.2023 года по результатам размещения государственного заказа в сфере дорожного хозяйства заключено 84 государственных контрактов и 102 договора (только региональные). В том числе по основному мероприятию «Капитальный ремонт, ремонт, содержание автомобильных дорог общего пользования регионального и межмуниципального значения» – 63 государственных контракта и 46 договоров, по основному мероприятию «Строительство и реконструкция автомобильных дорог регионального и межмуниципального значения» – 16 государственных контрактов и 53 договора, по основному мероприятию «Проектирование, строительство и реконструкция автомобильных дорог регионального и межмуниципального значения» – 5 государственных контрактов и 3 договора.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государственные контракты заключены вовремя.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Некоторые Государственные контракты в рамках программных мероприятий выполнялись с отставанием от календарных графиков по вине подрядчиков, а именно: </w:t>
      </w:r>
    </w:p>
    <w:p w:rsidR="00DB53F0" w:rsidRDefault="007E0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мероприятию «Проектирование, строительство и реконструкция автомобильных дорог регионального и межмуниципального значения» по всем объектам наблюдалось отставание работ от календарных графиков, подрядчикам выставлены штрафные санкции в соответствии с государственными контрактами.</w:t>
      </w: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44546A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7E0EB0">
      <w:pPr>
        <w:widowControl w:val="0"/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B53F0" w:rsidRDefault="00DB53F0">
      <w:pPr>
        <w:widowControl w:val="0"/>
        <w:tabs>
          <w:tab w:val="left" w:pos="11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53F0" w:rsidRDefault="007E0E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Анализ фактических и вероятных последствий влияния указанных факторов на основные параметры государственной программы. 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неисполнением подрядчиком условий контракта, в части поставки в 4 квартале 2022 года 1 ед. грузопассажирской баржи грузоподъемностью 40 тонн в Морской порт Петропавловск-Камчатский по ГК от 01.12.2017 № 0138200001217000020_238775, Министерством транспорта и дорожного строительства Камчатского края направлена Претензия генеральному Директору ООО «</w:t>
      </w:r>
      <w:proofErr w:type="spellStart"/>
      <w:r>
        <w:rPr>
          <w:rFonts w:ascii="Times New Roman" w:hAnsi="Times New Roman"/>
          <w:sz w:val="28"/>
          <w:szCs w:val="28"/>
        </w:rPr>
        <w:t>Сибирцевский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комбинат строительной индустрии». </w:t>
      </w: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>
        <w:rPr>
          <w:rFonts w:ascii="Times New Roman" w:hAnsi="Times New Roman"/>
          <w:b/>
          <w:sz w:val="28"/>
          <w:szCs w:val="28"/>
        </w:rPr>
        <w:t>. Результаты оценки эффективности реализации государственной программы в отчетном году.</w:t>
      </w:r>
    </w:p>
    <w:p w:rsidR="00DB53F0" w:rsidRDefault="007E0EB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государственной программы выполнена в соответствии с Методическими указаниями по разработке и реализации государственных программ Камчатского края, утвержденными приказом Министерства экономического развития, предпринимательства и торговли Камчатского края от 13.02.2023 № 6-Н.</w:t>
      </w:r>
    </w:p>
    <w:p w:rsidR="00DB53F0" w:rsidRDefault="00DB53F0">
      <w:pPr>
        <w:pStyle w:val="Default"/>
        <w:ind w:firstLine="709"/>
        <w:jc w:val="both"/>
        <w:rPr>
          <w:sz w:val="28"/>
          <w:szCs w:val="28"/>
        </w:rPr>
      </w:pPr>
    </w:p>
    <w:p w:rsidR="00DB53F0" w:rsidRDefault="007E0EB0">
      <w:pPr>
        <w:spacing w:after="0" w:line="240" w:lineRule="auto"/>
        <w:jc w:val="center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5.1. Оценка степени достижения целей и решения задач государственной программы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Степень достижения планового значения показателя (индикатора),</w:t>
      </w:r>
    </w:p>
    <w:p w:rsidR="00DB53F0" w:rsidRDefault="007E0EB0">
      <w:pPr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государственной программы, рассчитывается по следующим формулам: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для показателей (индикаторов), желаемой тенденцией развития которых является увеличение значений</w:t>
      </w:r>
      <w:r>
        <w:rPr>
          <w:rFonts w:ascii="Times New Roman" w:hAnsi="Times New Roman"/>
          <w:sz w:val="28"/>
          <w:szCs w:val="28"/>
        </w:rPr>
        <w:t>:</w:t>
      </w:r>
    </w:p>
    <w:p w:rsidR="00DB53F0" w:rsidRDefault="007E0EB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52575" cy="314325"/>
            <wp:effectExtent l="0" t="0" r="0" b="0"/>
            <wp:docPr id="1" name="Рисунок 18" descr="base_1_159904_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8" descr="base_1_159904_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3F0" w:rsidRDefault="00DB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53F0" w:rsidRDefault="007E0E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ПО ПОДПРОГРАММЕ 1 «РАЗВИТИЕ ДОРОЖНОГО ХОЗЯЙСТВА»</w:t>
      </w:r>
    </w:p>
    <w:p w:rsidR="00DB53F0" w:rsidRDefault="007E0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1.1. СД 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/>
          <w:sz w:val="28"/>
          <w:szCs w:val="28"/>
        </w:rPr>
        <w:t xml:space="preserve"> = 49,7/49,7=1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48,3/47,8=1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74/58,109=1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0,059/0,058=1 </w:t>
      </w:r>
    </w:p>
    <w:p w:rsidR="00896BCD" w:rsidRDefault="007E0EB0" w:rsidP="00896BC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74/74=1</w:t>
      </w:r>
    </w:p>
    <w:p w:rsidR="00DB53F0" w:rsidRPr="00896BCD" w:rsidRDefault="00896BCD" w:rsidP="00896BC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СД </w:t>
      </w:r>
      <w:proofErr w:type="spellStart"/>
      <w:r w:rsidRPr="00896BCD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896BCD">
        <w:rPr>
          <w:rFonts w:ascii="Times New Roman" w:hAnsi="Times New Roman" w:cs="Times New Roman"/>
          <w:sz w:val="28"/>
          <w:szCs w:val="28"/>
        </w:rPr>
        <w:t xml:space="preserve"> </w:t>
      </w:r>
      <w:r w:rsidR="007921C4">
        <w:rPr>
          <w:rFonts w:ascii="Times New Roman" w:hAnsi="Times New Roman" w:cs="Times New Roman"/>
          <w:sz w:val="28"/>
          <w:szCs w:val="28"/>
        </w:rPr>
        <w:t>= 47/47=1</w:t>
      </w:r>
    </w:p>
    <w:p w:rsidR="00DB53F0" w:rsidRPr="00896BCD" w:rsidRDefault="007E0EB0" w:rsidP="00896BC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CD">
        <w:rPr>
          <w:rFonts w:ascii="Times New Roman" w:eastAsia="TimesNewRomanPSMT" w:hAnsi="Times New Roman"/>
          <w:sz w:val="28"/>
          <w:szCs w:val="28"/>
        </w:rPr>
        <w:t>1.8.</w:t>
      </w:r>
      <w:r w:rsidRPr="00896BCD">
        <w:rPr>
          <w:rFonts w:ascii="Times New Roman" w:hAnsi="Times New Roman" w:cs="Times New Roman"/>
          <w:sz w:val="28"/>
          <w:szCs w:val="28"/>
        </w:rPr>
        <w:t xml:space="preserve"> СД </w:t>
      </w:r>
      <w:proofErr w:type="spellStart"/>
      <w:r w:rsidRPr="00896BCD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896BCD">
        <w:rPr>
          <w:rFonts w:ascii="Times New Roman" w:hAnsi="Times New Roman" w:cs="Times New Roman"/>
          <w:sz w:val="28"/>
          <w:szCs w:val="28"/>
        </w:rPr>
        <w:t xml:space="preserve"> </w:t>
      </w:r>
      <w:r w:rsidR="007921C4">
        <w:rPr>
          <w:rFonts w:ascii="Times New Roman" w:hAnsi="Times New Roman" w:cs="Times New Roman"/>
          <w:sz w:val="28"/>
          <w:szCs w:val="28"/>
        </w:rPr>
        <w:t>= 1/1=1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для показателей (индикаторов), желаемой тенденцией развития которых является снижение значений: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15,97 / 12 = 1</w:t>
      </w:r>
    </w:p>
    <w:p w:rsidR="00DB53F0" w:rsidRDefault="007E0EB0">
      <w:pPr>
        <w:pStyle w:val="af8"/>
        <w:tabs>
          <w:tab w:val="left" w:pos="0"/>
        </w:tabs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ПО ПОДПРОГРАММЕ 2 «РАЗВИТИЕ ПАССАЖИРСКОГО АВТОМОБИЛЬНОГО ТРАНСПОРТА»</w:t>
      </w:r>
    </w:p>
    <w:p w:rsidR="00DB53F0" w:rsidRDefault="007E0EB0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95/95=1</w:t>
      </w:r>
    </w:p>
    <w:p w:rsidR="00DB53F0" w:rsidRDefault="007E0EB0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11,00/11,50=1</w:t>
      </w:r>
    </w:p>
    <w:p w:rsidR="00DB53F0" w:rsidRDefault="007E0EB0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1/1=1</w:t>
      </w:r>
    </w:p>
    <w:p w:rsidR="00DB53F0" w:rsidRDefault="007E0EB0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100 / 100 = 1</w:t>
      </w:r>
    </w:p>
    <w:p w:rsidR="00DB53F0" w:rsidRDefault="007E0EB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ПО ПОДПРОГРАММЕ 3 «РАЗВИТИЕ ВОДНОГО ТРАНСПОРТА»</w:t>
      </w:r>
    </w:p>
    <w:p w:rsidR="00DB53F0" w:rsidRDefault="007E0EB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7921C4">
        <w:rPr>
          <w:rFonts w:ascii="Times New Roman" w:hAnsi="Times New Roman" w:cs="Times New Roman"/>
          <w:sz w:val="28"/>
          <w:szCs w:val="28"/>
        </w:rPr>
        <w:t xml:space="preserve"> 0,41/0,75=</w:t>
      </w:r>
      <w:r w:rsidR="00B60039">
        <w:rPr>
          <w:rFonts w:ascii="Times New Roman" w:hAnsi="Times New Roman" w:cs="Times New Roman"/>
          <w:sz w:val="28"/>
          <w:szCs w:val="28"/>
        </w:rPr>
        <w:t>0,55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7921C4">
        <w:rPr>
          <w:rFonts w:ascii="Times New Roman" w:hAnsi="Times New Roman" w:cs="Times New Roman"/>
          <w:sz w:val="28"/>
          <w:szCs w:val="28"/>
        </w:rPr>
        <w:t>17,56/10,80=1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4,40 / 3,30 = 1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117,24 / 103,20 = 1</w:t>
      </w:r>
    </w:p>
    <w:p w:rsidR="00DB53F0" w:rsidRDefault="007E0EB0" w:rsidP="00D31D62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7921C4">
        <w:rPr>
          <w:rFonts w:ascii="Times New Roman" w:hAnsi="Times New Roman" w:cs="Times New Roman"/>
          <w:sz w:val="28"/>
          <w:szCs w:val="28"/>
        </w:rPr>
        <w:t xml:space="preserve"> 2/3=</w:t>
      </w:r>
      <w:r w:rsidR="00B60039">
        <w:rPr>
          <w:rFonts w:ascii="Times New Roman" w:hAnsi="Times New Roman" w:cs="Times New Roman"/>
          <w:sz w:val="28"/>
          <w:szCs w:val="28"/>
        </w:rPr>
        <w:t>0,67</w:t>
      </w: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87/75 = 1</w:t>
      </w:r>
    </w:p>
    <w:p w:rsidR="00DB53F0" w:rsidRDefault="007E0EB0" w:rsidP="00D31D62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921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1C4">
        <w:rPr>
          <w:rFonts w:ascii="Times New Roman" w:hAnsi="Times New Roman" w:cs="Times New Roman"/>
          <w:sz w:val="28"/>
          <w:szCs w:val="28"/>
        </w:rPr>
        <w:t>= 0/1=0</w:t>
      </w:r>
    </w:p>
    <w:p w:rsidR="007921C4" w:rsidRDefault="007921C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3F0" w:rsidRDefault="007E0EB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РАСЧЕТ ПО ПОДПРОГРАММЕ 4 «РАЗВИТИЕ ВОЗДУШНОГО ТРАНСПОРТА»</w:t>
      </w:r>
    </w:p>
    <w:p w:rsidR="00DB53F0" w:rsidRDefault="007E0E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856/758=1</w:t>
      </w:r>
    </w:p>
    <w:p w:rsidR="00DB53F0" w:rsidRDefault="007E0E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СД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58,60/55,00=1</w:t>
      </w:r>
    </w:p>
    <w:p w:rsidR="00DB53F0" w:rsidRDefault="007E0EB0">
      <w:pPr>
        <w:spacing w:after="0" w:line="240" w:lineRule="auto"/>
        <w:ind w:firstLine="708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Степень реализации государственной программы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:rsidR="00DB53F0" w:rsidRDefault="007E0EB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504950" cy="485775"/>
            <wp:effectExtent l="0" t="0" r="0" b="0"/>
            <wp:docPr id="2" name="Рисунок 13" descr="base_1_159904_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3" descr="base_1_159904_6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3F0" w:rsidRDefault="007E0EB0" w:rsidP="0008024A">
      <w:pPr>
        <w:pStyle w:val="ConsPlusNormal"/>
        <w:tabs>
          <w:tab w:val="center" w:pos="4819"/>
          <w:tab w:val="left" w:pos="7095"/>
        </w:tabs>
        <w:ind w:firstLine="0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31D62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Расчет: СР </w:t>
      </w:r>
      <w:proofErr w:type="spellStart"/>
      <w:r w:rsidRPr="00D31D62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vertAlign w:val="subscript"/>
        </w:rPr>
        <w:t>гп</w:t>
      </w:r>
      <w:proofErr w:type="spellEnd"/>
      <w:r w:rsidRPr="00D31D62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vertAlign w:val="subscript"/>
        </w:rPr>
        <w:t xml:space="preserve"> </w:t>
      </w:r>
      <w:r w:rsidRPr="00D31D62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= </w:t>
      </w:r>
      <w:r w:rsidR="00B6003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19,22</w:t>
      </w:r>
      <w:r w:rsidR="0008024A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/21</w:t>
      </w:r>
      <w:r w:rsidR="007921C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=</w:t>
      </w:r>
      <w:r w:rsidR="00B6003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0,92</w:t>
      </w:r>
    </w:p>
    <w:p w:rsidR="00DB53F0" w:rsidRDefault="007E0EB0">
      <w:pPr>
        <w:spacing w:after="0" w:line="240" w:lineRule="auto"/>
        <w:jc w:val="center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Оценка степени соответствия запланированному уровню затрат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государственной программы к их плановым значениям без учета зарезервированных ассигнований, сформированных в соответствии с федеральным и региональным законодательством, по следующей формуле</w:t>
      </w:r>
      <w:r>
        <w:rPr>
          <w:rFonts w:ascii="Times New Roman" w:hAnsi="Times New Roman"/>
          <w:sz w:val="28"/>
          <w:szCs w:val="28"/>
        </w:rPr>
        <w:t>:</w:t>
      </w:r>
    </w:p>
    <w:p w:rsidR="00DB53F0" w:rsidRDefault="007E0EB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B53F0" w:rsidRDefault="007E0EB0" w:rsidP="00D31D62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Расчет: СС 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уз </w:t>
      </w:r>
      <w:r>
        <w:rPr>
          <w:rFonts w:ascii="Times New Roman" w:hAnsi="Times New Roman" w:cs="Times New Roman"/>
          <w:b/>
          <w:sz w:val="28"/>
          <w:szCs w:val="28"/>
        </w:rPr>
        <w:t>= 6 714 794,18313</w:t>
      </w:r>
      <w:r w:rsidRPr="00D31D62">
        <w:rPr>
          <w:rFonts w:ascii="Times New Roman" w:hAnsi="Times New Roman" w:cs="Times New Roman"/>
          <w:b/>
          <w:sz w:val="28"/>
          <w:szCs w:val="28"/>
        </w:rPr>
        <w:t>/6 839 205,63402 =</w:t>
      </w:r>
      <w:r w:rsidR="0008024A">
        <w:rPr>
          <w:rFonts w:ascii="Times New Roman" w:hAnsi="Times New Roman" w:cs="Times New Roman"/>
          <w:b/>
          <w:sz w:val="28"/>
          <w:szCs w:val="28"/>
        </w:rPr>
        <w:t xml:space="preserve"> 0,98</w:t>
      </w:r>
    </w:p>
    <w:p w:rsidR="00DB53F0" w:rsidRDefault="00DB53F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B53F0" w:rsidRDefault="007E0EB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Оценка степени реализации контрольных событий.</w:t>
      </w:r>
    </w:p>
    <w:p w:rsidR="00DB53F0" w:rsidRDefault="007E0EB0">
      <w:pPr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Степень реализации контрольных событий плана реализации государственной программы оценивается для государственной программы в</w:t>
      </w:r>
    </w:p>
    <w:p w:rsidR="00DB53F0" w:rsidRDefault="007E0EB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целом как доля контрольных событий, выполненных в отчетном году, по следующей формуле</w:t>
      </w:r>
      <w:r>
        <w:rPr>
          <w:rFonts w:ascii="Times New Roman" w:hAnsi="Times New Roman"/>
          <w:sz w:val="28"/>
          <w:szCs w:val="28"/>
        </w:rPr>
        <w:t>:</w:t>
      </w:r>
    </w:p>
    <w:p w:rsidR="00DB53F0" w:rsidRDefault="007E0EB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КС</w:t>
      </w:r>
    </w:p>
    <w:p w:rsidR="00DB53F0" w:rsidRDefault="007E0EB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Расчет: СР 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кс </w:t>
      </w:r>
      <w:r>
        <w:rPr>
          <w:rFonts w:ascii="Times New Roman" w:hAnsi="Times New Roman" w:cs="Times New Roman"/>
          <w:b/>
          <w:sz w:val="28"/>
          <w:szCs w:val="28"/>
        </w:rPr>
        <w:t>= 9/9=1</w:t>
      </w:r>
    </w:p>
    <w:p w:rsidR="00DB53F0" w:rsidRDefault="00DB5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53F0" w:rsidRDefault="007E0EB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>
        <w:rPr>
          <w:rFonts w:ascii="Times New Roman" w:eastAsia="TimesNewRomanPSMT" w:hAnsi="Times New Roman" w:cs="Times New Roman"/>
          <w:sz w:val="28"/>
          <w:szCs w:val="28"/>
        </w:rPr>
        <w:t>Оценка эффективности реализации государственной программы</w:t>
      </w:r>
    </w:p>
    <w:p w:rsidR="00DB53F0" w:rsidRDefault="007E0EB0">
      <w:pPr>
        <w:spacing w:after="0" w:line="240" w:lineRule="auto"/>
        <w:ind w:firstLine="540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программы, степени соответствия запланированном уровню</w:t>
      </w:r>
    </w:p>
    <w:p w:rsidR="00DB53F0" w:rsidRDefault="007E0EB0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затрат, степени реализации контрольных событий государственной программы, как среднее значение, по следующей формуле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3544" w:type="dxa"/>
        <w:jc w:val="center"/>
        <w:tblLayout w:type="fixed"/>
        <w:tblLook w:val="04A0" w:firstRow="1" w:lastRow="0" w:firstColumn="1" w:lastColumn="0" w:noHBand="0" w:noVBand="1"/>
      </w:tblPr>
      <w:tblGrid>
        <w:gridCol w:w="1002"/>
        <w:gridCol w:w="2542"/>
      </w:tblGrid>
      <w:tr w:rsidR="00DB53F0">
        <w:trPr>
          <w:jc w:val="center"/>
        </w:trPr>
        <w:tc>
          <w:tcPr>
            <w:tcW w:w="1002" w:type="dxa"/>
            <w:vMerge w:val="restart"/>
            <w:shd w:val="clear" w:color="auto" w:fill="auto"/>
            <w:vAlign w:val="center"/>
          </w:tcPr>
          <w:p w:rsidR="00DB53F0" w:rsidRDefault="007E0EB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гп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= </w:t>
            </w:r>
          </w:p>
        </w:tc>
        <w:tc>
          <w:tcPr>
            <w:tcW w:w="2541" w:type="dxa"/>
            <w:tcBorders>
              <w:bottom w:val="single" w:sz="4" w:space="0" w:color="000000"/>
            </w:tcBorders>
            <w:shd w:val="clear" w:color="auto" w:fill="auto"/>
          </w:tcPr>
          <w:p w:rsidR="00DB53F0" w:rsidRDefault="007E0EB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гп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уз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кс</w:t>
            </w:r>
            <w:proofErr w:type="spellEnd"/>
          </w:p>
        </w:tc>
      </w:tr>
      <w:tr w:rsidR="00DB53F0">
        <w:trPr>
          <w:jc w:val="center"/>
        </w:trPr>
        <w:tc>
          <w:tcPr>
            <w:tcW w:w="1002" w:type="dxa"/>
            <w:vMerge/>
            <w:shd w:val="clear" w:color="auto" w:fill="auto"/>
          </w:tcPr>
          <w:p w:rsidR="00DB53F0" w:rsidRDefault="00DB53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single" w:sz="4" w:space="0" w:color="000000"/>
            </w:tcBorders>
            <w:shd w:val="clear" w:color="auto" w:fill="auto"/>
          </w:tcPr>
          <w:p w:rsidR="00DB53F0" w:rsidRDefault="007E0E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08024A" w:rsidRPr="0029678A" w:rsidRDefault="0008024A" w:rsidP="000802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 xml:space="preserve">Расчет: ЭР </w:t>
      </w:r>
      <w:proofErr w:type="spellStart"/>
      <w:r w:rsidRPr="0029678A">
        <w:rPr>
          <w:rFonts w:ascii="Times New Roman" w:hAnsi="Times New Roman"/>
          <w:b/>
          <w:sz w:val="28"/>
          <w:szCs w:val="28"/>
          <w:vertAlign w:val="subscript"/>
        </w:rPr>
        <w:t>гп</w:t>
      </w:r>
      <w:proofErr w:type="spellEnd"/>
      <w:r w:rsidRPr="0029678A">
        <w:rPr>
          <w:rFonts w:ascii="Times New Roman" w:hAnsi="Times New Roman"/>
          <w:b/>
          <w:sz w:val="28"/>
          <w:szCs w:val="28"/>
        </w:rPr>
        <w:t xml:space="preserve"> = (</w:t>
      </w:r>
      <w:r w:rsidR="00B60039">
        <w:rPr>
          <w:rFonts w:ascii="Times New Roman" w:hAnsi="Times New Roman"/>
          <w:b/>
          <w:sz w:val="28"/>
          <w:szCs w:val="28"/>
        </w:rPr>
        <w:t>0,92</w:t>
      </w:r>
      <w:r w:rsidRPr="0029678A">
        <w:rPr>
          <w:rFonts w:ascii="Times New Roman" w:hAnsi="Times New Roman"/>
          <w:b/>
          <w:sz w:val="28"/>
          <w:szCs w:val="28"/>
        </w:rPr>
        <w:t>+</w:t>
      </w:r>
      <w:r>
        <w:rPr>
          <w:rFonts w:ascii="Times New Roman" w:hAnsi="Times New Roman"/>
          <w:b/>
          <w:sz w:val="28"/>
          <w:szCs w:val="28"/>
        </w:rPr>
        <w:t>0,98+</w:t>
      </w:r>
      <w:r w:rsidR="007921C4">
        <w:rPr>
          <w:rFonts w:ascii="Times New Roman" w:hAnsi="Times New Roman"/>
          <w:b/>
          <w:sz w:val="28"/>
          <w:szCs w:val="28"/>
        </w:rPr>
        <w:t>1</w:t>
      </w:r>
      <w:r w:rsidRPr="0029678A">
        <w:rPr>
          <w:rFonts w:ascii="Times New Roman" w:hAnsi="Times New Roman"/>
          <w:b/>
          <w:sz w:val="28"/>
          <w:szCs w:val="28"/>
        </w:rPr>
        <w:t>)/3=0,</w:t>
      </w:r>
      <w:r w:rsidR="007921C4">
        <w:rPr>
          <w:rFonts w:ascii="Times New Roman" w:hAnsi="Times New Roman"/>
          <w:b/>
          <w:sz w:val="28"/>
          <w:szCs w:val="28"/>
        </w:rPr>
        <w:t>9</w:t>
      </w:r>
      <w:r w:rsidR="00B60039">
        <w:rPr>
          <w:rFonts w:ascii="Times New Roman" w:hAnsi="Times New Roman"/>
          <w:b/>
          <w:sz w:val="28"/>
          <w:szCs w:val="28"/>
        </w:rPr>
        <w:t>7</w:t>
      </w:r>
    </w:p>
    <w:p w:rsidR="00DB53F0" w:rsidRDefault="00DB53F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DB53F0" w:rsidRDefault="007E0EB0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Таким образом, Эффективность реализации Программы за 2022 год признается высокой, т.к. значение ЭР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ГП</w:t>
      </w:r>
      <w:r>
        <w:rPr>
          <w:rFonts w:ascii="Times New Roman" w:hAnsi="Times New Roman" w:cs="Times New Roman"/>
          <w:b/>
          <w:sz w:val="28"/>
          <w:szCs w:val="28"/>
        </w:rPr>
        <w:t xml:space="preserve"> составляет не менее 0,95.</w:t>
      </w: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21C4" w:rsidRDefault="007921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21C4" w:rsidRDefault="007921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DB53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VII</w:t>
      </w:r>
      <w:r>
        <w:rPr>
          <w:rFonts w:ascii="Times New Roman" w:hAnsi="Times New Roman"/>
          <w:b/>
          <w:sz w:val="28"/>
          <w:szCs w:val="28"/>
        </w:rPr>
        <w:t>. Ин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формация о внесенных изменениях в Государственную программу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i/>
          <w:sz w:val="28"/>
          <w:szCs w:val="28"/>
        </w:rPr>
        <w:t xml:space="preserve">Постановление Правительства Камчатского края от 20.01.2022 </w:t>
      </w:r>
      <w:r>
        <w:rPr>
          <w:rFonts w:ascii="Times New Roman" w:hAnsi="Times New Roman"/>
          <w:b/>
          <w:i/>
          <w:sz w:val="28"/>
          <w:szCs w:val="28"/>
        </w:rPr>
        <w:br/>
        <w:t>№ 12-П</w:t>
      </w:r>
      <w:r>
        <w:rPr>
          <w:rFonts w:ascii="Times New Roman" w:hAnsi="Times New Roman"/>
          <w:sz w:val="28"/>
          <w:szCs w:val="28"/>
        </w:rPr>
        <w:t xml:space="preserve"> «О внесении изменений в государственную программу Камчатского края «Развитие транспортной системы в Камчатском крае», утвержденную постанов</w:t>
      </w:r>
      <w:r>
        <w:rPr>
          <w:rFonts w:ascii="Times New Roman" w:hAnsi="Times New Roman"/>
          <w:sz w:val="28"/>
          <w:szCs w:val="28"/>
        </w:rPr>
        <w:softHyphen/>
        <w:t>ле</w:t>
      </w:r>
      <w:r>
        <w:rPr>
          <w:rFonts w:ascii="Times New Roman" w:hAnsi="Times New Roman"/>
          <w:sz w:val="28"/>
          <w:szCs w:val="28"/>
        </w:rPr>
        <w:softHyphen/>
        <w:t xml:space="preserve">нием Правительства Камчатского края от 29.11.2013 </w:t>
      </w:r>
      <w:r>
        <w:rPr>
          <w:rFonts w:ascii="Times New Roman" w:hAnsi="Times New Roman"/>
          <w:sz w:val="28"/>
          <w:szCs w:val="28"/>
        </w:rPr>
        <w:br/>
        <w:t>№ 551-П» в Программу внесены следующие изменения: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3 к Программе</w:t>
      </w:r>
      <w:r>
        <w:rPr>
          <w:rFonts w:ascii="Times New Roman" w:hAnsi="Times New Roman"/>
          <w:sz w:val="28"/>
          <w:szCs w:val="28"/>
        </w:rPr>
        <w:t xml:space="preserve"> внесены следующие изменения: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объемы средств на реализацию Программы на 2021-2023 годы приведены в соответствие с бюджетной росписью Министерства транспорта и дорожного строительства Камчатского края;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объемы средств на реализацию Программы приведены в соответствие с Инвестиционной программой Камчатского края на 2022 год и на плановый период 2023-2024 годов и прогнозный период 2025-2026 годов, утвержденную постановлением Правительства Камчатского края от 29.11.2021 № 507-П и в соответствии с законом Камчатского края о краевом бюджете на 2022 год и на плановый период 2023 и 2024 годов от 26.11.2021 № 5;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2022-2023 годах по мероприятию «Строительство подъезда к проектируемому аэровокзалу в г. Елизово от автомобильной дороги А-401 «Подъездная дорога от морского порта Петропавловск-Камчатский к аэропорту Петропавловск-Камчатский на участке 34» предусмотрен объем средств за счет федерального бюджета в соответствии с проектом соглашения № 108-17-2022-011 о предоставлении иного межбюджетного трансферта, имеющего целевое назначение, из федерального бюджета бюджету субъекта Российской Федерации, заключаемого между Федеральным дорожным агентством и Правительством Камчатского края;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по мероприятиям «Реконструкция автомобильной дороги Петропавловск-Камчатский - Мильково на участке км 195 - км 208. 1 этап (участок км 195 - км 202)» и «Реконструкция автомобильной дороги Петропавловск-Камчатский - Мильково на участке км 195 - км 208. 2 этап (участок км 202 - км 208)» в соответствии с распоряжением Правительства Российской Федерации от 03.12.2021 № 3433-р увеличен объем средств федерального бюджета в общей сумме на 110,00 млн рублей.  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приложении 4 - 6 к Программе </w:t>
      </w:r>
      <w:r>
        <w:rPr>
          <w:rFonts w:ascii="Times New Roman" w:hAnsi="Times New Roman"/>
          <w:sz w:val="28"/>
          <w:szCs w:val="28"/>
        </w:rPr>
        <w:t xml:space="preserve">внесены изменения в соответствии с постановлением Правительства Камчатского края от 27.12.2019 № 566-П </w:t>
      </w:r>
      <w:r>
        <w:rPr>
          <w:rFonts w:ascii="Times New Roman" w:hAnsi="Times New Roman"/>
          <w:sz w:val="28"/>
          <w:szCs w:val="28"/>
        </w:rPr>
        <w:br/>
        <w:t xml:space="preserve">«Об утверждении правил формирования, предоставления и распределения субсидий из краевого бюджета бюджетам муниципальных образований в Камчатском крае». 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>
        <w:rPr>
          <w:rFonts w:ascii="Times New Roman" w:hAnsi="Times New Roman"/>
          <w:sz w:val="28"/>
          <w:szCs w:val="28"/>
        </w:rPr>
        <w:softHyphen/>
        <w:t xml:space="preserve">щего воздействия в соответствии с постановлением Правительства Камчатского края от 06.06.2014 № 233-П «Об утверждении порядка проведения оценки регулирующего воздействия проектов нормативных </w:t>
      </w:r>
      <w:r>
        <w:rPr>
          <w:rFonts w:ascii="Times New Roman" w:hAnsi="Times New Roman"/>
          <w:sz w:val="28"/>
          <w:szCs w:val="28"/>
        </w:rPr>
        <w:lastRenderedPageBreak/>
        <w:t>правовых актов Камчатского края и экспертизе норма</w:t>
      </w:r>
      <w:r>
        <w:rPr>
          <w:rFonts w:ascii="Times New Roman" w:hAnsi="Times New Roman"/>
          <w:sz w:val="28"/>
          <w:szCs w:val="28"/>
        </w:rPr>
        <w:softHyphen/>
        <w:t>тивных правовых актов Камчатского края».</w:t>
      </w:r>
    </w:p>
    <w:p w:rsidR="00DB53F0" w:rsidRDefault="007E0EB0">
      <w:pPr>
        <w:tabs>
          <w:tab w:val="left" w:pos="1620"/>
        </w:tabs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/>
          <w:i/>
          <w:sz w:val="28"/>
          <w:szCs w:val="28"/>
        </w:rPr>
        <w:t xml:space="preserve">Постановление Правительства Камчатского края от 06.04.2022 </w:t>
      </w:r>
      <w:r>
        <w:rPr>
          <w:rFonts w:ascii="Times New Roman" w:hAnsi="Times New Roman"/>
          <w:b/>
          <w:i/>
          <w:sz w:val="28"/>
          <w:szCs w:val="28"/>
        </w:rPr>
        <w:br/>
        <w:t>№ 156-П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внесении изменений в государственную программу Камчатского края «Развитие транспортной системы в Камчатском крае», утвержденную постанов</w:t>
      </w:r>
      <w:r>
        <w:rPr>
          <w:rFonts w:ascii="Times New Roman" w:hAnsi="Times New Roman"/>
          <w:sz w:val="28"/>
          <w:szCs w:val="28"/>
        </w:rPr>
        <w:softHyphen/>
        <w:t>ле</w:t>
      </w:r>
      <w:r>
        <w:rPr>
          <w:rFonts w:ascii="Times New Roman" w:hAnsi="Times New Roman"/>
          <w:sz w:val="28"/>
          <w:szCs w:val="28"/>
        </w:rPr>
        <w:softHyphen/>
        <w:t xml:space="preserve">нием Правительства Камчатского края от 29.11.2013 </w:t>
      </w:r>
      <w:r>
        <w:rPr>
          <w:rFonts w:ascii="Times New Roman" w:hAnsi="Times New Roman"/>
          <w:sz w:val="28"/>
          <w:szCs w:val="28"/>
        </w:rPr>
        <w:br/>
        <w:t>№ 551-П»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Программу внесены следующие изменения: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1 к Программе</w:t>
      </w:r>
      <w:r>
        <w:rPr>
          <w:rFonts w:ascii="Times New Roman" w:hAnsi="Times New Roman"/>
          <w:sz w:val="28"/>
          <w:szCs w:val="28"/>
        </w:rPr>
        <w:t xml:space="preserve"> изменены следующие значения показателей:</w:t>
      </w:r>
    </w:p>
    <w:p w:rsidR="00DB53F0" w:rsidRDefault="007E0EB0">
      <w:pPr>
        <w:pStyle w:val="1"/>
        <w:tabs>
          <w:tab w:val="left" w:pos="567"/>
        </w:tabs>
        <w:spacing w:before="0" w:line="240" w:lineRule="auto"/>
        <w:rPr>
          <w:b w:val="0"/>
          <w:i/>
          <w:sz w:val="28"/>
          <w:szCs w:val="28"/>
        </w:rPr>
      </w:pPr>
      <w:r>
        <w:rPr>
          <w:b w:val="0"/>
          <w:sz w:val="28"/>
          <w:szCs w:val="28"/>
        </w:rPr>
        <w:tab/>
        <w:t>1) показатели 2022-2024 годов приведены в соответствии с законом Камчатского края «О внесении изменений в Закон Камчатского края «О краевом бюджете на 2022 год и на плановый период 2023 и 2024 годов» от 05.03.2022 № 48;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2) добавлены три показателя по подпрограмме 1 «Развитие дорожного хозяйства» в соответствии с Дополнительным соглашением к Соглашению о реализации регионального проекта «Региональная и местная дорожная сеть (Камчатский край)» на территории Камчатского края от 27.12.2021 года № 103-2019-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10072-1/4.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3 к Программе: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Объемы средств на реализацию Программы на 2022-2024 годы приведены в соответствии с законом Камчатского края «О внесении изменений в Закон Камчатского края «О краевом бюджете на 2022 год и на плановый период 2023 и 2024 годов» от 05.03.2022 № 48;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Введено новое основное мероприятие 3.6. «Развитие инфраструктуры водного транспорта для обеспечения безопасной работы судов, принадлежащих Камчатскому краю» по Подпрограмме 3 «Развитие водного транспорта».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7 к Программе</w:t>
      </w:r>
      <w:r>
        <w:rPr>
          <w:rFonts w:ascii="Times New Roman" w:hAnsi="Times New Roman"/>
          <w:sz w:val="28"/>
          <w:szCs w:val="28"/>
        </w:rPr>
        <w:t xml:space="preserve"> внесены изменения по показателям дорожной деятельности (данные изменения необходимы для информации Федеральному дорожному агентству) распоряжения Правительства Российской Федерации от 30.06.2021 № 1769-Р, от 11.08.2021 № 2219-Р и от 23.08.2021 № 2303-Р.</w:t>
      </w:r>
    </w:p>
    <w:p w:rsidR="00DB53F0" w:rsidRDefault="007E0EB0">
      <w:pPr>
        <w:tabs>
          <w:tab w:val="left" w:pos="1620"/>
        </w:tabs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b/>
          <w:i/>
          <w:sz w:val="28"/>
          <w:szCs w:val="28"/>
        </w:rPr>
        <w:t xml:space="preserve">Постановление Правительства Камчатского края от 30.06.2022 </w:t>
      </w:r>
      <w:r>
        <w:rPr>
          <w:rFonts w:ascii="Times New Roman" w:hAnsi="Times New Roman"/>
          <w:b/>
          <w:i/>
          <w:sz w:val="28"/>
          <w:szCs w:val="28"/>
        </w:rPr>
        <w:br/>
        <w:t>№ 353-П</w:t>
      </w:r>
      <w:r>
        <w:rPr>
          <w:rFonts w:ascii="Times New Roman" w:hAnsi="Times New Roman"/>
          <w:sz w:val="28"/>
          <w:szCs w:val="28"/>
        </w:rPr>
        <w:t xml:space="preserve"> «О внесении изменений в государственную программу Камчатского края «Развитие транспортной системы в Камчатском крае», утвержденную постановлением Правительства Камчатского края от 29.11.2013 </w:t>
      </w:r>
      <w:r>
        <w:rPr>
          <w:rFonts w:ascii="Times New Roman" w:hAnsi="Times New Roman"/>
          <w:sz w:val="28"/>
          <w:szCs w:val="28"/>
        </w:rPr>
        <w:br/>
        <w:t>№ 551-П» в Программу внесены следующие изменения: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1 к Программе: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распоряжением Правительства Российской Федерации от 31.05.2022 № 1369-р значение показателя (индикатора) № 1.1 Подпрограммы 1 «Развитие дорожного хозяйства» в 2025 году увеличен на 32,06 км;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связи с технической ошибкой по показателю (индикатору) № 1.6 Подпрограммы 1 «Развитие дорожного хозяйства» значение показателя 2021 года приведен под фактически запланированный, ранее утвержденный </w:t>
      </w:r>
      <w:r>
        <w:rPr>
          <w:rFonts w:ascii="Times New Roman" w:hAnsi="Times New Roman"/>
          <w:sz w:val="28"/>
          <w:szCs w:val="28"/>
        </w:rPr>
        <w:lastRenderedPageBreak/>
        <w:t>постановлением Правительства Камчатского края от 20.01.2022 №12-П;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связи с технической ошибкой по показателям (индикаторам) №№ 3.1 - 3.4. Подпрограммы 3 «Развитие водного транспорта» значение показателя 2020 года приведен под фактически запланированный, ранее утвержденный постановлением Правительства Камчатского края от 20.01.2022 №12-П;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Добавлен показатель (индикатор) 3.7 «Количество объектов затонувшего имущества, удаленных из акватории, прилегающей к морскому побережью Камчатского края»;</w:t>
      </w:r>
    </w:p>
    <w:p w:rsidR="00DB53F0" w:rsidRDefault="007E0E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связи с технической ошибкой по показателям (индикаторам) </w:t>
      </w:r>
      <w:r>
        <w:rPr>
          <w:rFonts w:ascii="Times New Roman" w:hAnsi="Times New Roman"/>
          <w:sz w:val="28"/>
          <w:szCs w:val="28"/>
        </w:rPr>
        <w:br/>
        <w:t>№№ 4.1 - 4.3 Подпрограммы 4 «Развитие воздушного транспорта» значение показателя 2020 года приведен под фактически запланированный, ранее утвержденный постановлением Правительства Камчатского края от 20.01.2022 №12-П.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2 к Программе: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столбце 2 «Номер и наименование основного мероприятия» по всем мероприятиям добавлены слова «Основное мероприятие»;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Введено новое основное мероприятие 3.7. «Организация работ по подъему и удалению затонувшего имущества в акватории, прилегающей к морскому побережью Камчатского края» по Подпрограмме 3 «Развитие водного транспорта».</w:t>
      </w:r>
    </w:p>
    <w:p w:rsidR="00DB53F0" w:rsidRDefault="007E0EB0">
      <w:pPr>
        <w:pStyle w:val="1"/>
        <w:tabs>
          <w:tab w:val="left" w:pos="567"/>
        </w:tabs>
        <w:spacing w:before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ab/>
        <w:t>В приложении 3 к Программе: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Объемы средств на реализацию Программы на 2022-2024 годы приведены в соответствии </w:t>
      </w:r>
      <w:r>
        <w:rPr>
          <w:rFonts w:ascii="Times New Roman" w:hAnsi="Times New Roman"/>
          <w:bCs/>
          <w:sz w:val="28"/>
          <w:szCs w:val="28"/>
        </w:rPr>
        <w:t xml:space="preserve">с постановлением Правительства Камчатского края от 11.05.2022 № 241-П «О </w:t>
      </w:r>
      <w:r>
        <w:rPr>
          <w:rFonts w:ascii="Times New Roman" w:hAnsi="Times New Roman"/>
          <w:sz w:val="28"/>
          <w:szCs w:val="28"/>
        </w:rPr>
        <w:t>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</w:t>
      </w:r>
    </w:p>
    <w:p w:rsidR="00DB53F0" w:rsidRDefault="007E0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2023–2024 годов и прогнозный период 2025-2026 годов»;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Объем средств федерального бюджета на реализацию Подпрограммы 1 «Развитие дорожного хозяйства» увеличен на 780 млн. рублей в связи с заключенным между Правительством Камчатского края и Федеральным дорожным агентством Дополнительным соглашением к соглашению о предоставлении иного межбюджетного трансферта, имеющего целевое назначение, из федерального бюджета бюджету субъекта Российской Федерации от 25.12.2021 № 108-17-2022-153; 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Увеличен объем средств федерального бюджета на 5 534,2035 млн. рублей по мероприятию «Автомобильная дорога общего пользования регионального значения Камчатского края «п. Термальный - туристский кластер «Три вулкана» (1-3 этапы)» новое основное мероприятие Региональный проект J1 «Региональный проект «Развитие туристической инфраструктуры (Камчатский край)» в связи с распоряжением Правительства Российской Федерации от 31.05.2022 № 1369-р;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Введено новое основное мероприятие 3.7. «Организация работ по подъему и удалению затонувшего имущества в акватории, прилегающей к </w:t>
      </w:r>
      <w:r>
        <w:rPr>
          <w:rFonts w:ascii="Times New Roman" w:hAnsi="Times New Roman"/>
          <w:sz w:val="28"/>
          <w:szCs w:val="28"/>
        </w:rPr>
        <w:lastRenderedPageBreak/>
        <w:t>морскому побережью Камчатского края» по Подпрограмме 3 «Развитие водного транспорта».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приложении 7 к Программе</w:t>
      </w:r>
      <w:r>
        <w:rPr>
          <w:rFonts w:ascii="Times New Roman" w:hAnsi="Times New Roman"/>
          <w:sz w:val="28"/>
          <w:szCs w:val="28"/>
        </w:rPr>
        <w:t xml:space="preserve"> внесены изменения по показателям дорожной деятельности (данные изменения необходимы для информации Федеральному дорожному агентству) распоряжения Правительства Российской Федерации от 30.06.2021 № 1769-Р, от 11.08.2021 № 2219-Р, от 23.08.2021 № 2303-Р и от 22.04.2022 № 979-р.</w:t>
      </w:r>
    </w:p>
    <w:p w:rsidR="00DB53F0" w:rsidRDefault="007E0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/>
          <w:i/>
          <w:sz w:val="28"/>
          <w:szCs w:val="28"/>
        </w:rPr>
        <w:t xml:space="preserve">Постановление Правительства Камчатского края от 16.12.2022 </w:t>
      </w:r>
      <w:r>
        <w:rPr>
          <w:rFonts w:ascii="Times New Roman" w:hAnsi="Times New Roman"/>
          <w:b/>
          <w:i/>
          <w:sz w:val="28"/>
          <w:szCs w:val="28"/>
        </w:rPr>
        <w:br/>
        <w:t>№ 682-П</w:t>
      </w:r>
      <w:r>
        <w:rPr>
          <w:rFonts w:ascii="Times New Roman" w:hAnsi="Times New Roman"/>
          <w:sz w:val="28"/>
          <w:szCs w:val="28"/>
        </w:rPr>
        <w:t xml:space="preserve"> «О внесении изменений в Государ</w:t>
      </w:r>
      <w:r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>
        <w:rPr>
          <w:rFonts w:ascii="Times New Roman" w:hAnsi="Times New Roman"/>
          <w:sz w:val="28"/>
          <w:szCs w:val="28"/>
        </w:rPr>
        <w:softHyphen/>
        <w:t>ле</w:t>
      </w:r>
      <w:r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изменения следующие изменения:</w:t>
      </w:r>
    </w:p>
    <w:p w:rsidR="00DB53F0" w:rsidRDefault="007E0EB0">
      <w:pPr>
        <w:pStyle w:val="1"/>
        <w:tabs>
          <w:tab w:val="left" w:pos="567"/>
          <w:tab w:val="left" w:pos="993"/>
        </w:tabs>
        <w:spacing w:before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приложении 3 к Программе объем средств на реализацию Программы на 2022-2024 годы приведены в соответствии с постановлением Правительства Камчатского края от 23.11.2022 № 603-П «О 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2025-2026 годов» и в соответствии с проектом закона Камчатского края «О внесении изменений в Закон Камчатского края «О краевом бюджете на 2022 год и на плановый период 2023 и 2024 годов» с изменениями от 04.10.2022 </w:t>
      </w:r>
      <w:r>
        <w:rPr>
          <w:b w:val="0"/>
          <w:sz w:val="28"/>
          <w:szCs w:val="28"/>
        </w:rPr>
        <w:br/>
        <w:t>№ 117.</w:t>
      </w:r>
    </w:p>
    <w:p w:rsidR="00DB53F0" w:rsidRDefault="007E0EB0">
      <w:pPr>
        <w:pStyle w:val="ConsPlusTitle"/>
        <w:tabs>
          <w:tab w:val="left" w:pos="851"/>
        </w:tabs>
        <w:ind w:firstLine="567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Проект дополнен приложением 12 к Программе порядком предоставления и распределения иных межбюджетных трансфертов местным бюджетам из краевого бюджета на реализацию отдельных мероприятий подпрограммы 1 «Развитие дорожного хозяйства» в части выполнения мероприятий Плана социального развития центров экономического роста Камчатского края в соответствии с заключенным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Соглашением между Министерством Российской Федерации по развитию Дальнего Востока и Арктики и Правительства Камчатского края о предоставлении иного межбюджетного трансферта, имеющего целевое назначение, из федерального бюджета бюджету Камчатского края за счет бюджетных ассигнований резервного фонда Правительства Российской Федерации от 23.08.2022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br/>
        <w:t>№ 350-17-2022-011.</w:t>
      </w:r>
    </w:p>
    <w:p w:rsidR="00DB53F0" w:rsidRDefault="007E0E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Проект дополнен приложением 13 к Программе порядком предоставления и распределения иных межбюджетных трансфертов местным бюджетам из краевого бюджета на реализацию отдельных мероприятий подпрограммы 1 «Развитие дорожного хозяйства» в части выполнения мероприятий регионального проекта «Региональная и местная дорожная сеть (Камчатский край)», в соответствии с паспортом Регионального проекта «Региональная и местная дорожная сеть (Камчатский край)» в рамках реализации национального проекта «Безопасные и качественные автомобильные дороги», утвержденного президиумом Совета при Президенте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 по стратегическому развитию и национальным проектам (протокол от 24 декабря 2018 № 15).</w:t>
      </w:r>
    </w:p>
    <w:sectPr w:rsidR="00DB53F0">
      <w:footerReference w:type="default" r:id="rId11"/>
      <w:pgSz w:w="11906" w:h="16838"/>
      <w:pgMar w:top="1134" w:right="850" w:bottom="1134" w:left="1701" w:header="0" w:footer="1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7EA" w:rsidRDefault="009F57EA">
      <w:pPr>
        <w:spacing w:after="0" w:line="240" w:lineRule="auto"/>
      </w:pPr>
      <w:r>
        <w:separator/>
      </w:r>
    </w:p>
  </w:endnote>
  <w:endnote w:type="continuationSeparator" w:id="0">
    <w:p w:rsidR="009F57EA" w:rsidRDefault="009F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3F0" w:rsidRDefault="007E0EB0">
    <w:pPr>
      <w:pStyle w:val="a8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F1616D">
      <w:rPr>
        <w:rFonts w:ascii="Times New Roman" w:hAnsi="Times New Roman"/>
        <w:noProof/>
        <w:sz w:val="28"/>
        <w:szCs w:val="28"/>
      </w:rPr>
      <w:t>21</w:t>
    </w:r>
    <w:r>
      <w:rPr>
        <w:rFonts w:ascii="Times New Roman" w:hAnsi="Times New Roman"/>
        <w:sz w:val="28"/>
        <w:szCs w:val="28"/>
      </w:rPr>
      <w:fldChar w:fldCharType="end"/>
    </w:r>
  </w:p>
  <w:p w:rsidR="00DB53F0" w:rsidRDefault="00DB53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7EA" w:rsidRDefault="009F57EA">
      <w:pPr>
        <w:spacing w:after="0" w:line="240" w:lineRule="auto"/>
      </w:pPr>
      <w:r>
        <w:separator/>
      </w:r>
    </w:p>
  </w:footnote>
  <w:footnote w:type="continuationSeparator" w:id="0">
    <w:p w:rsidR="009F57EA" w:rsidRDefault="009F5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A352C"/>
    <w:multiLevelType w:val="multilevel"/>
    <w:tmpl w:val="30465DC2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D35538"/>
    <w:multiLevelType w:val="multilevel"/>
    <w:tmpl w:val="177C5A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3F0"/>
    <w:rsid w:val="0008024A"/>
    <w:rsid w:val="000E164D"/>
    <w:rsid w:val="001D58A9"/>
    <w:rsid w:val="001E7E8B"/>
    <w:rsid w:val="002979E9"/>
    <w:rsid w:val="003D6D19"/>
    <w:rsid w:val="004D5E8E"/>
    <w:rsid w:val="00522D51"/>
    <w:rsid w:val="005915D2"/>
    <w:rsid w:val="006845E2"/>
    <w:rsid w:val="006E04A6"/>
    <w:rsid w:val="007921C4"/>
    <w:rsid w:val="007E0EB0"/>
    <w:rsid w:val="00896BCD"/>
    <w:rsid w:val="009F57EA"/>
    <w:rsid w:val="00A37885"/>
    <w:rsid w:val="00B60039"/>
    <w:rsid w:val="00D31D62"/>
    <w:rsid w:val="00D51530"/>
    <w:rsid w:val="00D66D62"/>
    <w:rsid w:val="00DB53F0"/>
    <w:rsid w:val="00E05090"/>
    <w:rsid w:val="00EE2937"/>
    <w:rsid w:val="00F1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22206-3A55-4A0A-8F32-182485E4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A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4283B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271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71D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uiPriority w:val="99"/>
    <w:semiHidden/>
    <w:qFormat/>
    <w:rsid w:val="001E727B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Верхний колонтитул Знак"/>
    <w:link w:val="a6"/>
    <w:uiPriority w:val="99"/>
    <w:qFormat/>
    <w:rsid w:val="007150D3"/>
    <w:rPr>
      <w:sz w:val="22"/>
      <w:szCs w:val="22"/>
      <w:lang w:eastAsia="en-US"/>
    </w:rPr>
  </w:style>
  <w:style w:type="character" w:customStyle="1" w:styleId="a7">
    <w:name w:val="Нижний колонтитул Знак"/>
    <w:link w:val="a8"/>
    <w:uiPriority w:val="99"/>
    <w:qFormat/>
    <w:rsid w:val="007150D3"/>
    <w:rPr>
      <w:sz w:val="22"/>
      <w:szCs w:val="22"/>
      <w:lang w:eastAsia="en-US"/>
    </w:rPr>
  </w:style>
  <w:style w:type="character" w:styleId="a9">
    <w:name w:val="Hyperlink"/>
    <w:uiPriority w:val="99"/>
    <w:unhideWhenUsed/>
    <w:rsid w:val="003B706F"/>
    <w:rPr>
      <w:color w:val="0000FF"/>
      <w:u w:val="single"/>
    </w:rPr>
  </w:style>
  <w:style w:type="character" w:customStyle="1" w:styleId="21">
    <w:name w:val="Основной текст с отступом 2 Знак"/>
    <w:link w:val="22"/>
    <w:qFormat/>
    <w:rsid w:val="003B706F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link w:val="1"/>
    <w:uiPriority w:val="9"/>
    <w:qFormat/>
    <w:rsid w:val="0004283B"/>
    <w:rPr>
      <w:rFonts w:ascii="Times New Roman" w:eastAsia="Times New Roman" w:hAnsi="Times New Roman"/>
      <w:b/>
      <w:sz w:val="36"/>
      <w:szCs w:val="32"/>
      <w:lang w:eastAsia="en-US"/>
    </w:rPr>
  </w:style>
  <w:style w:type="character" w:customStyle="1" w:styleId="aa">
    <w:name w:val="Основной текст с отступом Знак"/>
    <w:qFormat/>
    <w:rsid w:val="00271DDB"/>
    <w:rPr>
      <w:sz w:val="22"/>
      <w:szCs w:val="22"/>
      <w:lang w:eastAsia="en-US"/>
    </w:rPr>
  </w:style>
  <w:style w:type="character" w:customStyle="1" w:styleId="20">
    <w:name w:val="Заголовок 2 Знак"/>
    <w:link w:val="2"/>
    <w:qFormat/>
    <w:rsid w:val="00271D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271DDB"/>
    <w:rPr>
      <w:rFonts w:ascii="Arial" w:eastAsia="Times New Roman" w:hAnsi="Arial" w:cs="Arial"/>
      <w:b/>
      <w:bCs/>
      <w:sz w:val="26"/>
      <w:szCs w:val="26"/>
    </w:rPr>
  </w:style>
  <w:style w:type="character" w:customStyle="1" w:styleId="ab">
    <w:name w:val="Основной текст Знак"/>
    <w:link w:val="ac"/>
    <w:qFormat/>
    <w:rsid w:val="00271DDB"/>
    <w:rPr>
      <w:rFonts w:ascii="Times New Roman" w:eastAsia="Times New Roman" w:hAnsi="Times New Roman"/>
      <w:sz w:val="24"/>
      <w:szCs w:val="24"/>
    </w:rPr>
  </w:style>
  <w:style w:type="character" w:customStyle="1" w:styleId="11">
    <w:name w:val="Основной текст с отступом Знак1"/>
    <w:basedOn w:val="ab"/>
    <w:link w:val="ad"/>
    <w:qFormat/>
    <w:rsid w:val="00271DDB"/>
    <w:rPr>
      <w:rFonts w:ascii="Times New Roman" w:eastAsia="Times New Roman" w:hAnsi="Times New Roman"/>
      <w:sz w:val="24"/>
      <w:szCs w:val="24"/>
    </w:rPr>
  </w:style>
  <w:style w:type="character" w:styleId="ae">
    <w:name w:val="page number"/>
    <w:qFormat/>
    <w:rsid w:val="00271DDB"/>
  </w:style>
  <w:style w:type="character" w:customStyle="1" w:styleId="FontStyle13">
    <w:name w:val="Font Style13"/>
    <w:qFormat/>
    <w:rsid w:val="00271DDB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qFormat/>
    <w:rsid w:val="00271DDB"/>
    <w:rPr>
      <w:rFonts w:ascii="Times New Roman" w:hAnsi="Times New Roman" w:cs="Times New Roman"/>
      <w:sz w:val="26"/>
      <w:szCs w:val="26"/>
    </w:rPr>
  </w:style>
  <w:style w:type="character" w:styleId="af">
    <w:name w:val="line number"/>
    <w:uiPriority w:val="99"/>
    <w:semiHidden/>
    <w:unhideWhenUsed/>
    <w:qFormat/>
    <w:rsid w:val="00E9292F"/>
  </w:style>
  <w:style w:type="paragraph" w:customStyle="1" w:styleId="12">
    <w:name w:val="Заголовок1"/>
    <w:basedOn w:val="a"/>
    <w:next w:val="a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c">
    <w:name w:val="Body Text"/>
    <w:basedOn w:val="a"/>
    <w:link w:val="ab"/>
    <w:rsid w:val="00271DD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List"/>
    <w:basedOn w:val="ac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styleId="a4">
    <w:name w:val="Balloon Text"/>
    <w:basedOn w:val="a"/>
    <w:link w:val="a3"/>
    <w:semiHidden/>
    <w:unhideWhenUsed/>
    <w:qFormat/>
    <w:rsid w:val="001E727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7150D3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7150D3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3B706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No Spacing"/>
    <w:uiPriority w:val="1"/>
    <w:qFormat/>
    <w:rsid w:val="0004283B"/>
    <w:rPr>
      <w:sz w:val="22"/>
      <w:szCs w:val="22"/>
      <w:lang w:eastAsia="en-US"/>
    </w:rPr>
  </w:style>
  <w:style w:type="paragraph" w:styleId="ad">
    <w:name w:val="Body Text Indent"/>
    <w:basedOn w:val="ac"/>
    <w:link w:val="11"/>
    <w:qFormat/>
    <w:rsid w:val="00271DDB"/>
    <w:pPr>
      <w:ind w:firstLine="210"/>
    </w:pPr>
  </w:style>
  <w:style w:type="paragraph" w:customStyle="1" w:styleId="af5">
    <w:name w:val="Знак Знак Знак"/>
    <w:basedOn w:val="a"/>
    <w:qFormat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6">
    <w:name w:val="Знак Знак Знак Знак"/>
    <w:basedOn w:val="a"/>
    <w:qFormat/>
    <w:rsid w:val="00271DD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3">
    <w:name w:val="Знак1 Знак Знак Знак"/>
    <w:basedOn w:val="a"/>
    <w:qFormat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7">
    <w:name w:val="Знак"/>
    <w:basedOn w:val="a"/>
    <w:qFormat/>
    <w:rsid w:val="00271DD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Style6">
    <w:name w:val="Style6"/>
    <w:basedOn w:val="a"/>
    <w:qFormat/>
    <w:rsid w:val="00271DDB"/>
    <w:pPr>
      <w:widowControl w:val="0"/>
      <w:spacing w:after="0" w:line="355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qFormat/>
    <w:rsid w:val="00271DDB"/>
    <w:pPr>
      <w:widowControl w:val="0"/>
      <w:spacing w:after="0" w:line="33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Знак Знак2 Знак"/>
    <w:basedOn w:val="a"/>
    <w:next w:val="2"/>
    <w:autoRedefine/>
    <w:qFormat/>
    <w:rsid w:val="00271DDB"/>
    <w:pPr>
      <w:spacing w:after="160" w:line="240" w:lineRule="exact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Style9">
    <w:name w:val="Style9"/>
    <w:basedOn w:val="a"/>
    <w:qFormat/>
    <w:rsid w:val="00271DDB"/>
    <w:pPr>
      <w:widowControl w:val="0"/>
      <w:spacing w:after="0" w:line="341" w:lineRule="exact"/>
      <w:ind w:firstLine="64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271DDB"/>
    <w:pPr>
      <w:widowControl w:val="0"/>
      <w:spacing w:after="0" w:line="336" w:lineRule="exact"/>
      <w:ind w:firstLine="6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1"/>
    <w:qFormat/>
    <w:rsid w:val="00271DDB"/>
    <w:rPr>
      <w:rFonts w:ascii="Arial" w:eastAsia="Times New Roman" w:hAnsi="Arial"/>
    </w:rPr>
  </w:style>
  <w:style w:type="paragraph" w:customStyle="1" w:styleId="ConsPlusNormal">
    <w:name w:val="ConsPlusNormal"/>
    <w:qFormat/>
    <w:rsid w:val="00271DDB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qFormat/>
    <w:rsid w:val="00271DDB"/>
    <w:pPr>
      <w:widowControl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qFormat/>
    <w:rsid w:val="00271DDB"/>
    <w:rPr>
      <w:rFonts w:ascii="Times New Roman" w:eastAsia="Times New Roman" w:hAnsi="Times New Roman"/>
      <w:color w:val="000000"/>
      <w:sz w:val="24"/>
      <w:szCs w:val="24"/>
    </w:rPr>
  </w:style>
  <w:style w:type="paragraph" w:styleId="af8">
    <w:name w:val="List Paragraph"/>
    <w:basedOn w:val="a"/>
    <w:uiPriority w:val="34"/>
    <w:qFormat/>
    <w:rsid w:val="00271DDB"/>
    <w:pPr>
      <w:spacing w:after="0"/>
      <w:ind w:left="720" w:firstLine="851"/>
      <w:contextualSpacing/>
      <w:jc w:val="both"/>
    </w:pPr>
  </w:style>
  <w:style w:type="paragraph" w:customStyle="1" w:styleId="ConsPlusTitle">
    <w:name w:val="ConsPlusTitle"/>
    <w:uiPriority w:val="99"/>
    <w:qFormat/>
    <w:rsid w:val="000D124E"/>
    <w:pPr>
      <w:widowControl w:val="0"/>
    </w:pPr>
    <w:rPr>
      <w:rFonts w:ascii="Arial" w:eastAsia="Times New Roman" w:hAnsi="Arial" w:cs="Arial"/>
      <w:b/>
      <w:bCs/>
    </w:rPr>
  </w:style>
  <w:style w:type="table" w:styleId="af9">
    <w:name w:val="Table Grid"/>
    <w:basedOn w:val="a1"/>
    <w:rsid w:val="005A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ort_agency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982E-03AA-451F-84C1-0CA0F520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24</Pages>
  <Words>7193</Words>
  <Characters>41004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dc:description/>
  <cp:lastModifiedBy>Гемаксон Алексей Юрьевич</cp:lastModifiedBy>
  <cp:revision>9</cp:revision>
  <cp:lastPrinted>2023-05-14T23:11:00Z</cp:lastPrinted>
  <dcterms:created xsi:type="dcterms:W3CDTF">2023-04-03T23:17:00Z</dcterms:created>
  <dcterms:modified xsi:type="dcterms:W3CDTF">2024-04-08T22:06:00Z</dcterms:modified>
  <dc:language>ru-RU</dc:language>
</cp:coreProperties>
</file>